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POR FALTA DE RESPUESTA Y SOLICITUD DE ACCIÓN INMEDIATA. Ficha-producto de aceite vegetal de la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 </w:t>
      </w:r>
      <w:r>
        <w:t xml:space="preserve">publicada con</w:t>
      </w:r>
      <w:r>
        <w:t xml:space="preserve"> </w:t>
      </w:r>
      <w:r>
        <w:rPr>
          <w:bCs/>
          <w:b/>
        </w:rPr>
        <w:t xml:space="preserve">Plan HACCP vencido desde el 01 de diciembre de 2025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23032026-03, ingresada por mesa de partes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 </w:t>
      </w:r>
      <w:r>
        <w:t xml:space="preserve">(Exp. N.°</w:t>
      </w:r>
      <w:r>
        <w:t xml:space="preserve"> </w:t>
      </w:r>
      <w:r>
        <w:rPr>
          <w:bCs/>
          <w:b/>
        </w:rPr>
        <w:t xml:space="preserve">2026-0002646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Correo electrónico del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 </w:t>
      </w:r>
      <w:r>
        <w:t xml:space="preserve">dirigido a administrador.acuerdos,</w:t>
      </w:r>
      <w:r>
        <w:t xml:space="preserve"> </w:t>
      </w:r>
      <w:r>
        <w:t xml:space="preserve">“</w:t>
      </w:r>
      <w:r>
        <w:t xml:space="preserve">HACCP desactualizado y Carta sin respuesta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representante de marca acreditado ante PERÚ COMPRAS,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por la falta de atención a la denuncia que formulamos hace</w:t>
      </w:r>
      <w:r>
        <w:t xml:space="preserve"> </w:t>
      </w:r>
      <w:r>
        <w:rPr>
          <w:bCs/>
          <w:b/>
        </w:rPr>
        <w:t xml:space="preserve">más de seis meses</w:t>
      </w:r>
      <w:r>
        <w:t xml:space="preserve">, sobre un hecho que involucra la</w:t>
      </w:r>
      <w:r>
        <w:t xml:space="preserve"> </w:t>
      </w:r>
      <w:r>
        <w:rPr>
          <w:bCs/>
          <w:b/>
        </w:rPr>
        <w:t xml:space="preserve">inocuidad de un alimento de consumo humano</w:t>
      </w:r>
      <w:r>
        <w:t xml:space="preserve"> </w:t>
      </w:r>
      <w:r>
        <w:t xml:space="preserve">que se vende al Estado a través de los Catálogos Electrónicos.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En el Catálogo Electrónico se encuentra publicada la ficha-producto de</w:t>
      </w:r>
      <w:r>
        <w:t xml:space="preserve"> </w:t>
      </w:r>
      <w:r>
        <w:rPr>
          <w:bCs/>
          <w:b/>
        </w:rPr>
        <w:t xml:space="preserve">ACEITE VEGETAL DE SOYA, marca PALMA REAL</w:t>
      </w:r>
      <w:r>
        <w:t xml:space="preserve">, categoría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producida por</w:t>
      </w:r>
      <w:r>
        <w:t xml:space="preserve"> </w:t>
      </w:r>
      <w:r>
        <w:rPr>
          <w:bCs/>
          <w:b/>
        </w:rPr>
        <w:t xml:space="preserve">AGROINDUSTRIAS INTEGRADAS S.A.</w:t>
      </w:r>
      <w:r>
        <w:t xml:space="preserve"> </w:t>
      </w:r>
      <w:r>
        <w:t xml:space="preserve">(código de identificación único</w:t>
      </w:r>
      <w:r>
        <w:t xml:space="preserve"> </w:t>
      </w:r>
      <w:r>
        <w:rPr>
          <w:bCs/>
          <w:b/>
        </w:rPr>
        <w:t xml:space="preserve">100001000021</w:t>
      </w:r>
      <w:r>
        <w:t xml:space="preserve">, según la ficha técnica publicada) [</w:t>
      </w:r>
      <w:r>
        <w:rPr>
          <w:iCs/>
          <w:i/>
        </w:rPr>
        <w:t xml:space="preserve">confirmar Acuerdo Marco y catálogo vigentes: EXT-CE-2024-18 – Aceites y Grasas</w:t>
      </w:r>
      <w:r>
        <w:t xml:space="preserve">].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La propia ficha técnica exige, en su numeral</w:t>
      </w:r>
      <w:r>
        <w:t xml:space="preserve"> </w:t>
      </w:r>
      <w:r>
        <w:rPr>
          <w:bCs/>
          <w:b/>
        </w:rPr>
        <w:t xml:space="preserve">6.2 – Documentos de habilitación</w:t>
      </w:r>
      <w:r>
        <w:t xml:space="preserve">, lo siguiente: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Para productos nacionales: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Resolución Directoral vigente</w:t>
      </w:r>
      <w:r>
        <w:rPr>
          <w:iCs/>
          <w:i/>
        </w:rPr>
        <w:t xml:space="preserve"> </w:t>
      </w:r>
      <w:r>
        <w:rPr>
          <w:iCs/>
          <w:i/>
        </w:rPr>
        <w:t xml:space="preserve">que otorga Validación Técnica Oficial al Plan HACCP, emitida por la DIGESA, según Resolución Ministerial N.° 449-2006-MINSA.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1.3.</w:t>
      </w:r>
      <w:r>
        <w:t xml:space="preserve"> </w:t>
      </w:r>
      <w:r>
        <w:t xml:space="preserve">Sin embargo, el documento que figura en la ficha publicada es el</w:t>
      </w:r>
      <w:r>
        <w:t xml:space="preserve"> </w:t>
      </w:r>
      <w:r>
        <w:rPr>
          <w:bCs/>
          <w:b/>
        </w:rPr>
        <w:t xml:space="preserve">Expediente N.° 88358-2023-CH</w:t>
      </w:r>
      <w:r>
        <w:t xml:space="preserve">, que corresponde a la</w:t>
      </w:r>
      <w:r>
        <w:t xml:space="preserve"> </w:t>
      </w:r>
      <w:r>
        <w:rPr>
          <w:bCs/>
          <w:b/>
        </w:rPr>
        <w:t xml:space="preserve">Resolución Directoral N.° 7036-2023/DCEA/DIGESA/SA, del 01 de diciembre de 2023</w:t>
      </w:r>
      <w:r>
        <w:t xml:space="preserve">. En la misma ficha se declara como vigencia el</w:t>
      </w:r>
      <w:r>
        <w:t xml:space="preserve"> </w:t>
      </w:r>
      <w:r>
        <w:rPr>
          <w:bCs/>
          <w:b/>
        </w:rPr>
        <w:t xml:space="preserve">01/12/2025</w:t>
      </w:r>
      <w:r>
        <w:t xml:space="preserve"> </w:t>
      </w:r>
      <w:r>
        <w:t xml:space="preserve">(ver Anexo 1).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La propia resolución de DIGESA lo confirma. Su</w:t>
      </w:r>
      <w:r>
        <w:t xml:space="preserve"> </w:t>
      </w:r>
      <w:r>
        <w:rPr>
          <w:bCs/>
          <w:b/>
        </w:rPr>
        <w:t xml:space="preserve">Artículo 2</w:t>
      </w:r>
      <w:r>
        <w:t xml:space="preserve"> </w:t>
      </w:r>
      <w:r>
        <w:t xml:space="preserve">establece que la validación del Plan HACCP tiene una vigencia de</w:t>
      </w:r>
      <w:r>
        <w:t xml:space="preserve"> </w:t>
      </w:r>
      <w:r>
        <w:rPr>
          <w:bCs/>
          <w:b/>
        </w:rPr>
        <w:t xml:space="preserve">dos (2) años contados desde su emisión</w:t>
      </w:r>
      <w:r>
        <w:t xml:space="preserve"> </w:t>
      </w:r>
      <w:r>
        <w:t xml:space="preserve">(ver Anexo 2). Es decir,</w:t>
      </w:r>
      <w:r>
        <w:t xml:space="preserve"> </w:t>
      </w:r>
      <w:r>
        <w:rPr>
          <w:bCs/>
          <w:b/>
        </w:rPr>
        <w:t xml:space="preserve">venció el 01 de diciembre de 2025</w:t>
      </w:r>
      <w:r>
        <w:t xml:space="preserve">. A la fecha, la ficha lleva</w:t>
      </w:r>
      <w:r>
        <w:t xml:space="preserve"> </w:t>
      </w:r>
      <w:r>
        <w:rPr>
          <w:bCs/>
          <w:b/>
        </w:rPr>
        <w:t xml:space="preserve">más de diez (10) meses</w:t>
      </w:r>
      <w:r>
        <w:t xml:space="preserve"> </w:t>
      </w:r>
      <w:r>
        <w:t xml:space="preserve">publicada con un documento sanitario de habilitación</w:t>
      </w:r>
      <w:r>
        <w:t xml:space="preserve"> </w:t>
      </w:r>
      <w:r>
        <w:rPr>
          <w:bCs/>
          <w:b/>
        </w:rPr>
        <w:t xml:space="preserve">vencido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t xml:space="preserve">Informamos este hecho a su Dirección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, mediante carta ingresada por mesa de partes (Exp. N.° 2026-0002646), y lo reiteramos por correo 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Hasta hoy no hemos recibido ninguna respuesta</w:t>
      </w:r>
      <w:r>
        <w:t xml:space="preserve">, y la ficha sigue publicada en las mismas condiciones.</w:t>
      </w:r>
    </w:p>
    <w:bookmarkEnd w:id="20"/>
    <w:bookmarkStart w:id="21" w:name="las-normas-que-se-están-incumpliendo"/>
    <w:p>
      <w:pPr>
        <w:pStyle w:val="Heading2"/>
      </w:pPr>
      <w:r>
        <w:t xml:space="preserve">2. LAS NORMAS QUE SE ESTÁN INCUMPLIENDO</w:t>
      </w:r>
    </w:p>
    <w:p>
      <w:pPr>
        <w:pStyle w:val="FirstParagraph"/>
      </w:pPr>
      <w:r>
        <w:rPr>
          <w:bCs/>
          <w:b/>
        </w:rPr>
        <w:t xml:space="preserve">2.1. En alimentos, el HACCP no es un trámite: es la garantía de inocuidad.</w:t>
      </w:r>
      <w:r>
        <w:t xml:space="preserve"> </w:t>
      </w:r>
      <w:r>
        <w:t xml:space="preserve">El Plan HACCP (Análisis de Peligros y Puntos Críticos de Control) es el sistema que asegura que la línea de producción</w:t>
      </w:r>
      <w:r>
        <w:t xml:space="preserve"> </w:t>
      </w:r>
      <w:r>
        <w:rPr>
          <w:bCs/>
          <w:b/>
        </w:rPr>
        <w:t xml:space="preserve">identifica y controla los peligros físicos, químicos y biológicos</w:t>
      </w:r>
      <w:r>
        <w:t xml:space="preserve"> </w:t>
      </w:r>
      <w:r>
        <w:t xml:space="preserve">que pueden contaminar un alimento. Su validación la otorga</w:t>
      </w:r>
      <w:r>
        <w:t xml:space="preserve"> </w:t>
      </w:r>
      <w:r>
        <w:rPr>
          <w:bCs/>
          <w:b/>
        </w:rPr>
        <w:t xml:space="preserve">DIGESA</w:t>
      </w:r>
      <w:r>
        <w:t xml:space="preserve">, luego de inspeccionar la planta, y</w:t>
      </w:r>
      <w:r>
        <w:t xml:space="preserve"> </w:t>
      </w:r>
      <w:r>
        <w:rPr>
          <w:bCs/>
          <w:b/>
        </w:rPr>
        <w:t xml:space="preserve">vence a los dos (2) años</w:t>
      </w:r>
      <w:r>
        <w:t xml:space="preserve"> </w:t>
      </w:r>
      <w:r>
        <w:t xml:space="preserve">justamente para obligar al productor a</w:t>
      </w:r>
      <w:r>
        <w:t xml:space="preserve"> </w:t>
      </w:r>
      <w:r>
        <w:rPr>
          <w:bCs/>
          <w:b/>
        </w:rPr>
        <w:t xml:space="preserve">demostrar periódicamente</w:t>
      </w:r>
      <w:r>
        <w:t xml:space="preserve"> </w:t>
      </w:r>
      <w:r>
        <w:t xml:space="preserve">que sigue cumpliendo. Por eso:</w:t>
      </w:r>
    </w:p>
    <w:p>
      <w:pPr>
        <w:numPr>
          <w:ilvl w:val="0"/>
          <w:numId w:val="1002"/>
        </w:numPr>
        <w:pStyle w:val="Compact"/>
      </w:pPr>
      <w:r>
        <w:t xml:space="preserve">La normativa sanitaria establece que un establecimiento con HACCP validado</w:t>
      </w:r>
      <w:r>
        <w:t xml:space="preserve"> </w:t>
      </w:r>
      <w:r>
        <w:rPr>
          <w:bCs/>
          <w:b/>
        </w:rPr>
        <w:t xml:space="preserve">se considera habilitado sanitariamente solo para esa línea de producción</w:t>
      </w:r>
      <w:r>
        <w:t xml:space="preserve">, tal como lo recoge la propia Resolución Directoral N.° 7036-2023/DCEA/DIGESA/SA (Anexo 2).</w:t>
      </w:r>
    </w:p>
    <w:p>
      <w:pPr>
        <w:numPr>
          <w:ilvl w:val="0"/>
          <w:numId w:val="1002"/>
        </w:numPr>
        <w:pStyle w:val="Compact"/>
      </w:pPr>
      <w:r>
        <w:t xml:space="preserve">La ficha técnica del catálogo lo exige como</w:t>
      </w:r>
      <w:r>
        <w:t xml:space="preserve"> </w:t>
      </w:r>
      <w:r>
        <w:rPr>
          <w:bCs/>
          <w:b/>
        </w:rPr>
        <w:t xml:space="preserve">requisito de habilitación</w:t>
      </w:r>
      <w:r>
        <w:t xml:space="preserve"> </w:t>
      </w:r>
      <w:r>
        <w:t xml:space="preserve">(numeral 6.2), al mismo nivel que el Registro Sanitario.</w:t>
      </w:r>
    </w:p>
    <w:p>
      <w:pPr>
        <w:numPr>
          <w:ilvl w:val="0"/>
          <w:numId w:val="1002"/>
        </w:numPr>
        <w:pStyle w:val="Compact"/>
      </w:pPr>
      <w:r>
        <w:t xml:space="preserve">Un HACCP vencido significa que</w:t>
      </w:r>
      <w:r>
        <w:t xml:space="preserve"> </w:t>
      </w:r>
      <w:r>
        <w:rPr>
          <w:bCs/>
          <w:b/>
        </w:rPr>
        <w:t xml:space="preserve">no hay constancia vigente de que la autoridad sanitaria haya verificado</w:t>
      </w:r>
      <w:r>
        <w:t xml:space="preserve"> </w:t>
      </w:r>
      <w:r>
        <w:t xml:space="preserve">las condiciones de producción de ese aceite.</w:t>
      </w:r>
    </w:p>
    <w:p>
      <w:pPr>
        <w:pStyle w:val="FirstParagraph"/>
      </w:pPr>
      <w:r>
        <w:t xml:space="preserve">Este aceite puede estar llegando a</w:t>
      </w:r>
      <w:r>
        <w:t xml:space="preserve"> </w:t>
      </w:r>
      <w:r>
        <w:rPr>
          <w:bCs/>
          <w:b/>
        </w:rPr>
        <w:t xml:space="preserve">comedores, hospitales, centros educativos, programas sociales y otras entidades públicas</w:t>
      </w:r>
      <w:r>
        <w:t xml:space="preserve">, es decir, a</w:t>
      </w:r>
      <w:r>
        <w:t xml:space="preserve"> </w:t>
      </w:r>
      <w:r>
        <w:rPr>
          <w:bCs/>
          <w:b/>
        </w:rPr>
        <w:t xml:space="preserve">poblaciones vulnerables</w:t>
      </w:r>
      <w:r>
        <w:t xml:space="preserve">, sin que el documento que sustenta su inocuidad esté vigente en el catálogo. En alimentos,</w:t>
      </w:r>
      <w:r>
        <w:t xml:space="preserve"> </w:t>
      </w:r>
      <w:r>
        <w:rPr>
          <w:bCs/>
          <w:b/>
        </w:rPr>
        <w:t xml:space="preserve">no se puede esperar a que ocurra un problema de salud</w:t>
      </w:r>
      <w:r>
        <w:t xml:space="preserve"> </w:t>
      </w:r>
      <w:r>
        <w:t xml:space="preserve">para actuar.</w:t>
      </w:r>
    </w:p>
    <w:p>
      <w:pPr>
        <w:pStyle w:val="BodyText"/>
      </w:pPr>
      <w:r>
        <w:rPr>
          <w:bCs/>
          <w:b/>
        </w:rPr>
        <w:t xml:space="preserve">2.2. Se incumplen normas expresas, y PERÚ COMPRAS debe hacerlas cumplir.</w:t>
      </w:r>
      <w:r>
        <w:t xml:space="preserve"> </w:t>
      </w:r>
      <w:r>
        <w:t xml:space="preserve">Mantener publicada esta ficha-producto con el Plan HACCP vencido contraviene: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Ficha Técnica / Especificación del bien (numeral 6.2)</w:t>
      </w:r>
      <w:r>
        <w:t xml:space="preserve">, que exige como documento de habilitación una</w:t>
      </w:r>
      <w:r>
        <w:t xml:space="preserve"> </w:t>
      </w:r>
      <w:r>
        <w:rPr>
          <w:bCs/>
          <w:b/>
        </w:rPr>
        <w:t xml:space="preserve">Resolución Directoral vigente</w:t>
      </w:r>
      <w:r>
        <w:t xml:space="preserve"> </w:t>
      </w:r>
      <w:r>
        <w:t xml:space="preserve">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Reglamento sobre Vigilancia y Control Sanitario de Alimentos y Bebidas, aprobado por Decreto Supremo N.° 007-98-SA (artículo 58-A, incorporado por el D.S. N.° 004-2014-SA)</w:t>
      </w:r>
      <w:r>
        <w:t xml:space="preserve">, que fija en</w:t>
      </w:r>
      <w:r>
        <w:t xml:space="preserve"> </w:t>
      </w:r>
      <w:r>
        <w:rPr>
          <w:bCs/>
          <w:b/>
        </w:rPr>
        <w:t xml:space="preserve">dos (2) años</w:t>
      </w:r>
      <w:r>
        <w:t xml:space="preserve"> </w:t>
      </w:r>
      <w:r>
        <w:t xml:space="preserve">la vigencia del certificado 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Norma Sanitaria para la Aplicación del Sistema HACCP en la Fabricación de Alimentos y Bebidas, aprobada por Resolución Ministerial N.° 449-2006/MINSA (artículo 33)</w:t>
      </w:r>
      <w:r>
        <w:t xml:space="preserve">, que establece la misma vigencia máxima de dos (2) años.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Directiva N.° 004-2023-PERÚ COMPRAS</w:t>
      </w:r>
      <w:r>
        <w:t xml:space="preserve">,</w:t>
      </w:r>
      <w:r>
        <w:t xml:space="preserve"> </w:t>
      </w:r>
      <w:r>
        <w:t xml:space="preserve">“</w:t>
      </w:r>
      <w:r>
        <w:t xml:space="preserve">Lineamientos para la acreditación como representante de marca y su gestión en los Catálogos Electrónicos de Acuerdos Marco</w:t>
      </w:r>
      <w:r>
        <w:t xml:space="preserve">”</w:t>
      </w:r>
      <w:r>
        <w:t xml:space="preserve">, aprobada por</w:t>
      </w:r>
      <w:r>
        <w:t xml:space="preserve"> </w:t>
      </w:r>
      <w:r>
        <w:rPr>
          <w:bCs/>
          <w:b/>
        </w:rPr>
        <w:t xml:space="preserve">Resolución Jefatural N.° 000085-2023-PERÚ COMPRAS-JEFATURA</w:t>
      </w:r>
      <w:r>
        <w:t xml:space="preserve">, que en su</w:t>
      </w:r>
      <w:r>
        <w:t xml:space="preserve"> </w:t>
      </w:r>
      <w:r>
        <w:rPr>
          <w:bCs/>
          <w:b/>
        </w:rPr>
        <w:t xml:space="preserve">numeral 8.6</w:t>
      </w:r>
      <w:r>
        <w:t xml:space="preserve"> </w:t>
      </w:r>
      <w:r>
        <w:t xml:space="preserve">impone al representante de marca acreditado, entre otras, las siguientes obligaciones: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Literal a):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Observar los principios, así como cumplir las normas generales y especiales que regulan, la actividad comercial, los rubros de los productos (…)</w:t>
      </w:r>
      <w:r>
        <w:rPr>
          <w:iCs/>
          <w:i/>
        </w:rPr>
        <w:t xml:space="preserve">”</w:t>
      </w:r>
      <w:r>
        <w:t xml:space="preserve">. Las normas sanitarias que exigen un HACCP vigente para fabricar alimentos son precisamente esas normas especiales.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Literal f):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Mantener actualizadas las Fichas-producto incorporadas.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principios de la contratación pública</w:t>
      </w:r>
      <w:r>
        <w:t xml:space="preserve">, en particular los de</w:t>
      </w:r>
      <w:r>
        <w:t xml:space="preserve"> </w:t>
      </w:r>
      <w:r>
        <w:rPr>
          <w:bCs/>
          <w:b/>
        </w:rPr>
        <w:t xml:space="preserve">legalidad, igualdad de trato y transparencia</w:t>
      </w:r>
      <w:r>
        <w:t xml:space="preserve">: las condiciones que establece el catálogo son obligatorias y deben aplicarse</w:t>
      </w:r>
      <w:r>
        <w:t xml:space="preserve"> </w:t>
      </w:r>
      <w:r>
        <w:rPr>
          <w:bCs/>
          <w:b/>
        </w:rPr>
        <w:t xml:space="preserve">sin excepciones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2.3. La Directiva establece qué debe hacer su Dirección, y no lo ha hecho.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numeral 8.7.1</w:t>
      </w:r>
      <w:r>
        <w:t xml:space="preserve"> </w:t>
      </w:r>
      <w:r>
        <w:t xml:space="preserve">de la Directiva N.° 004-2023-PERÚ COMPRAS dispone que, si la Dirección de Acuerdos Marco (cuyas funciones hoy ejerce su Dirección)</w:t>
      </w:r>
      <w:r>
        <w:t xml:space="preserve"> </w:t>
      </w:r>
      <w:r>
        <w:rPr>
          <w:bCs/>
          <w:b/>
        </w:rPr>
        <w:t xml:space="preserve">toma conocimiento</w:t>
      </w:r>
      <w:r>
        <w:t xml:space="preserve"> </w:t>
      </w:r>
      <w:r>
        <w:t xml:space="preserve">de que el representante de marca incumple alguna de las obligaciones del numeral 8.6,</w:t>
      </w:r>
      <w:r>
        <w:t xml:space="preserve"> </w:t>
      </w:r>
      <w:r>
        <w:rPr>
          <w:bCs/>
          <w:b/>
        </w:rPr>
        <w:t xml:space="preserve">otorga un plazo de cinco (5) días hábiles para que presente sus descargos</w:t>
      </w:r>
      <w:r>
        <w:t xml:space="preserve"> </w:t>
      </w:r>
      <w:r>
        <w:t xml:space="preserve">y, evaluados estos,</w:t>
      </w:r>
      <w:r>
        <w:t xml:space="preserve"> </w:t>
      </w:r>
      <w:r>
        <w:rPr>
          <w:bCs/>
          <w:b/>
        </w:rPr>
        <w:t xml:space="preserve">procede a suspender su acreditación</w:t>
      </w:r>
      <w:r>
        <w:t xml:space="preserve"> </w:t>
      </w:r>
      <w:r>
        <w:t xml:space="preserve">en la categoría correspondiente:</w:t>
      </w:r>
    </w:p>
    <w:p>
      <w:pPr>
        <w:numPr>
          <w:ilvl w:val="0"/>
          <w:numId w:val="1005"/>
        </w:numPr>
        <w:pStyle w:val="Compact"/>
      </w:pPr>
      <w:r>
        <w:t xml:space="preserve">Por incumplir el</w:t>
      </w:r>
      <w:r>
        <w:t xml:space="preserve"> </w:t>
      </w:r>
      <w:r>
        <w:rPr>
          <w:bCs/>
          <w:b/>
        </w:rPr>
        <w:t xml:space="preserve">literal a)</w:t>
      </w:r>
      <w:r>
        <w:t xml:space="preserve">, la suspensión es de</w:t>
      </w:r>
      <w:r>
        <w:t xml:space="preserve"> </w:t>
      </w:r>
      <w:r>
        <w:rPr>
          <w:bCs/>
          <w:b/>
        </w:rPr>
        <w:t xml:space="preserve">treinta (30) días calendario</w:t>
      </w:r>
      <w:r>
        <w:t xml:space="preserve"> </w:t>
      </w:r>
      <w:r>
        <w:t xml:space="preserve">(numeral 8.7.3).</w:t>
      </w:r>
    </w:p>
    <w:p>
      <w:pPr>
        <w:numPr>
          <w:ilvl w:val="0"/>
          <w:numId w:val="1005"/>
        </w:numPr>
        <w:pStyle w:val="Compact"/>
      </w:pPr>
      <w:r>
        <w:t xml:space="preserve">Por incumplir el</w:t>
      </w:r>
      <w:r>
        <w:t xml:space="preserve"> </w:t>
      </w:r>
      <w:r>
        <w:rPr>
          <w:bCs/>
          <w:b/>
        </w:rPr>
        <w:t xml:space="preserve">literal f)</w:t>
      </w:r>
      <w:r>
        <w:t xml:space="preserve">, la suspensión es de</w:t>
      </w:r>
      <w:r>
        <w:t xml:space="preserve"> </w:t>
      </w:r>
      <w:r>
        <w:rPr>
          <w:bCs/>
          <w:b/>
        </w:rPr>
        <w:t xml:space="preserve">hasta treinta (30) días calendario o hasta que supere el incumplimiento</w:t>
      </w:r>
      <w:r>
        <w:t xml:space="preserve">, lo que ocurra después (numeral 8.7.4).</w:t>
      </w:r>
    </w:p>
    <w:p>
      <w:pPr>
        <w:pStyle w:val="FirstParagraph"/>
      </w:pPr>
      <w:r>
        <w:t xml:space="preserve">Su Dirección</w:t>
      </w:r>
      <w:r>
        <w:t xml:space="preserve"> </w:t>
      </w:r>
      <w:r>
        <w:rPr>
          <w:bCs/>
          <w:b/>
        </w:rPr>
        <w:t xml:space="preserve">tomó conocimiento formal</w:t>
      </w:r>
      <w:r>
        <w:t xml:space="preserve"> </w:t>
      </w:r>
      <w:r>
        <w:t xml:space="preserve">de este incumplimiento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, con nuestra carta ingresada por mesa de partes. Han pasado</w:t>
      </w:r>
      <w:r>
        <w:t xml:space="preserve"> </w:t>
      </w:r>
      <w:r>
        <w:rPr>
          <w:bCs/>
          <w:b/>
        </w:rPr>
        <w:t xml:space="preserve">más de seis meses</w:t>
      </w:r>
      <w:r>
        <w:t xml:space="preserve"> </w:t>
      </w:r>
      <w:r>
        <w:t xml:space="preserve">sin que, hasta donde sabemos, se haya iniciado este procedimiento. Además, el</w:t>
      </w:r>
      <w:r>
        <w:t xml:space="preserve"> </w:t>
      </w:r>
      <w:r>
        <w:rPr>
          <w:bCs/>
          <w:b/>
        </w:rPr>
        <w:t xml:space="preserve">numeral VI</w:t>
      </w:r>
      <w:r>
        <w:t xml:space="preserve"> </w:t>
      </w:r>
      <w:r>
        <w:t xml:space="preserve">de la misma Directiva señala que</w:t>
      </w:r>
      <w:r>
        <w:t xml:space="preserve"> </w:t>
      </w:r>
      <w:r>
        <w:rPr>
          <w:bCs/>
          <w:b/>
        </w:rPr>
        <w:t xml:space="preserve">son responsables de su cumplimiento los servidores civiles de la Dirección de Acuerdos Marco</w:t>
      </w:r>
      <w:r>
        <w:t xml:space="preserve">, hoy su Dirección, y no solo los representantes de marca.</w:t>
      </w:r>
    </w:p>
    <w:p>
      <w:pPr>
        <w:pStyle w:val="BodyText"/>
      </w:pPr>
      <w:r>
        <w:rPr>
          <w:bCs/>
          <w:b/>
        </w:rPr>
        <w:t xml:space="preserve">2.4. Aun si el HACCP hubiera sido renovado, la ficha debe actualizarse.</w:t>
      </w:r>
      <w:r>
        <w:t xml:space="preserve"> </w:t>
      </w:r>
      <w:r>
        <w:t xml:space="preserve">Si el productor obtuvo una nueva Resolución Directoral de DIGESA, el incumplimiento persiste mientras la ficha publicada siga mostrando un documento vencido. La ficha técnica es el documento que revisan las entidades y los proveedores para comprar, y</w:t>
      </w:r>
      <w:r>
        <w:t xml:space="preserve"> </w:t>
      </w:r>
      <w:r>
        <w:rPr>
          <w:bCs/>
          <w:b/>
        </w:rPr>
        <w:t xml:space="preserve">debe reflejar la documentación vigente</w:t>
      </w:r>
      <w:r>
        <w:t xml:space="preserve">. Su Dirección conoce bien este procedimiento y tiene la facultad expresa para aplicarlo: el</w:t>
      </w:r>
      <w:r>
        <w:t xml:space="preserve"> </w:t>
      </w:r>
      <w:r>
        <w:rPr>
          <w:bCs/>
          <w:b/>
        </w:rPr>
        <w:t xml:space="preserve">numeral 7.10</w:t>
      </w:r>
      <w:r>
        <w:t xml:space="preserve"> </w:t>
      </w:r>
      <w:r>
        <w:t xml:space="preserve">de la Directiva N.° 004-2023-PERÚ COMPRAS le permite</w:t>
      </w:r>
      <w:r>
        <w:t xml:space="preserve"> </w:t>
      </w:r>
      <w:r>
        <w:rPr>
          <w:bCs/>
          <w:b/>
        </w:rPr>
        <w:t xml:space="preserve">solicitar al representante de marca la presentación de determinada información y/o documentación</w:t>
      </w:r>
      <w:r>
        <w:t xml:space="preserve"> </w:t>
      </w:r>
      <w:r>
        <w:t xml:space="preserve">durante la vigencia del catálogo. Nuestra propia empresa recibió en su oportunidad un requerimiento de su Dirección para</w:t>
      </w:r>
      <w:r>
        <w:t xml:space="preserve"> </w:t>
      </w:r>
      <w:r>
        <w:rPr>
          <w:bCs/>
          <w:b/>
        </w:rPr>
        <w:t xml:space="preserve">actualizar el certificado de Registro Sanitario</w:t>
      </w:r>
      <w:r>
        <w:t xml:space="preserve"> </w:t>
      </w:r>
      <w:r>
        <w:t xml:space="preserve">de una de nuestras fichas [</w:t>
      </w:r>
      <w:r>
        <w:rPr>
          <w:iCs/>
          <w:i/>
        </w:rPr>
        <w:t xml:space="preserve">fecha y N.° del documento o correo</w:t>
      </w:r>
      <w:r>
        <w:t xml:space="preserve">], y cumplimos. Lo que corresponde es que se aplique</w:t>
      </w:r>
      <w:r>
        <w:t xml:space="preserve"> </w:t>
      </w:r>
      <w:r>
        <w:rPr>
          <w:bCs/>
          <w:b/>
        </w:rPr>
        <w:t xml:space="preserve">el mismo procedimiento</w:t>
      </w:r>
      <w:r>
        <w:t xml:space="preserve"> </w:t>
      </w:r>
      <w:r>
        <w:t xml:space="preserve">a esta ficha.</w:t>
      </w:r>
    </w:p>
    <w:p>
      <w:pPr>
        <w:pStyle w:val="BodyText"/>
      </w:pPr>
      <w:r>
        <w:rPr>
          <w:bCs/>
          <w:b/>
        </w:rPr>
        <w:t xml:space="preserve">2.5. El silencio de su Dirección no tiene justificación.</w:t>
      </w:r>
      <w:r>
        <w:t xml:space="preserve"> </w:t>
      </w:r>
      <w:r>
        <w:t xml:space="preserve">Nuestra carta fue presentada formalmente por mesa de partes. La falta de respuesta durante más de seis meses vulnera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, cuyo plazo para responder</w:t>
      </w:r>
      <w:r>
        <w:t xml:space="preserve"> </w:t>
      </w:r>
      <w:r>
        <w:rPr>
          <w:bCs/>
          <w:b/>
        </w:rPr>
        <w:t xml:space="preserve">se encuentra ampliamente vencido</w:t>
      </w:r>
      <w:r>
        <w:t xml:space="preserve">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verifique de inmediato</w:t>
      </w:r>
      <w:r>
        <w:t xml:space="preserve"> </w:t>
      </w:r>
      <w:r>
        <w:t xml:space="preserve">la vigencia del Plan HACCP de la ficha-producto de aceite vegetal de soya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Que, si el representante de marca</w:t>
      </w:r>
      <w:r>
        <w:t xml:space="preserve"> </w:t>
      </w:r>
      <w:r>
        <w:rPr>
          <w:bCs/>
          <w:b/>
        </w:rPr>
        <w:t xml:space="preserve">cuenta con una nueva Resolución Directoral vigente</w:t>
      </w:r>
      <w:r>
        <w:t xml:space="preserve">, se le</w:t>
      </w:r>
      <w:r>
        <w:t xml:space="preserve"> </w:t>
      </w:r>
      <w:r>
        <w:rPr>
          <w:bCs/>
          <w:b/>
        </w:rPr>
        <w:t xml:space="preserve">requiera formalmente actualizar la ficha</w:t>
      </w:r>
      <w:r>
        <w:t xml:space="preserve"> </w:t>
      </w:r>
      <w:r>
        <w:t xml:space="preserve">en un plazo perentorio, conforme al</w:t>
      </w:r>
      <w:r>
        <w:t xml:space="preserve"> </w:t>
      </w:r>
      <w:r>
        <w:rPr>
          <w:bCs/>
          <w:b/>
        </w:rPr>
        <w:t xml:space="preserve">numeral 7.10</w:t>
      </w:r>
      <w:r>
        <w:t xml:space="preserve"> </w:t>
      </w:r>
      <w:r>
        <w:t xml:space="preserve">de la Directiva N.° 004-2023-PERÚ COMPRAS, siguiendo el mismo procedimiento que su Dirección aplica cuando vence un documento de habilitación, como el Registro Sanitario.</w:t>
      </w:r>
    </w:p>
    <w:p>
      <w:pPr>
        <w:numPr>
          <w:ilvl w:val="0"/>
          <w:numId w:val="1006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inicie el procedimiento del numeral 8.7.1</w:t>
      </w:r>
      <w:r>
        <w:t xml:space="preserve"> </w:t>
      </w:r>
      <w:r>
        <w:t xml:space="preserve">de la Directiva N.° 004-2023-PERÚ COMPRAS contra el representante de marca por el incumplimiento de las obligaciones de los</w:t>
      </w:r>
      <w:r>
        <w:t xml:space="preserve"> </w:t>
      </w:r>
      <w:r>
        <w:rPr>
          <w:bCs/>
          <w:b/>
        </w:rPr>
        <w:t xml:space="preserve">literales a) y f) del numeral 8.6</w:t>
      </w:r>
      <w:r>
        <w:t xml:space="preserve">, y que, si</w:t>
      </w:r>
      <w:r>
        <w:t xml:space="preserve"> </w:t>
      </w:r>
      <w:r>
        <w:rPr>
          <w:bCs/>
          <w:b/>
        </w:rPr>
        <w:t xml:space="preserve">no cuenta con un HACCP vigente</w:t>
      </w:r>
      <w:r>
        <w:t xml:space="preserve">, se</w:t>
      </w:r>
      <w:r>
        <w:t xml:space="preserve"> </w:t>
      </w:r>
      <w:r>
        <w:rPr>
          <w:bCs/>
          <w:b/>
        </w:rPr>
        <w:t xml:space="preserve">suspenda la ficha-producto y su acreditación en la categoría</w:t>
      </w:r>
      <w:r>
        <w:t xml:space="preserve">, conforme a los numerales 8.7.3 y 8.7.4, hasta que acredite contar con un Plan HACCP vigente.</w:t>
      </w:r>
    </w:p>
    <w:p>
      <w:pPr>
        <w:numPr>
          <w:ilvl w:val="0"/>
          <w:numId w:val="1006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responda por escrito</w:t>
      </w:r>
      <w:r>
        <w:t xml:space="preserve">,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, indicando:</w:t>
      </w:r>
    </w:p>
    <w:p>
      <w:pPr>
        <w:numPr>
          <w:ilvl w:val="1"/>
          <w:numId w:val="1007"/>
        </w:numPr>
        <w:pStyle w:val="Compact"/>
      </w:pPr>
      <w:r>
        <w:t xml:space="preserve">Qué acciones se tomaron a partir de nuestra carta del 23 de marzo de 2026.</w:t>
      </w:r>
    </w:p>
    <w:p>
      <w:pPr>
        <w:numPr>
          <w:ilvl w:val="1"/>
          <w:numId w:val="1007"/>
        </w:numPr>
        <w:pStyle w:val="Compact"/>
      </w:pPr>
      <w:r>
        <w:t xml:space="preserve">Por qué esa carta no fue respondida.</w:t>
      </w:r>
    </w:p>
    <w:p>
      <w:pPr>
        <w:numPr>
          <w:ilvl w:val="1"/>
          <w:numId w:val="1007"/>
        </w:numPr>
        <w:pStyle w:val="Compact"/>
      </w:pPr>
      <w:r>
        <w:t xml:space="preserve">Si durante el periodo en que el HACCP estuvo vencido</w:t>
      </w:r>
      <w:r>
        <w:t xml:space="preserve"> </w:t>
      </w:r>
      <w:r>
        <w:rPr>
          <w:bCs/>
          <w:b/>
        </w:rPr>
        <w:t xml:space="preserve">se emitieron órdenes de compra</w:t>
      </w:r>
      <w:r>
        <w:t xml:space="preserve"> </w:t>
      </w:r>
      <w:r>
        <w:t xml:space="preserve">de esta ficha-producto a entidades públicas.</w:t>
      </w:r>
    </w:p>
    <w:bookmarkEnd w:id="22"/>
    <w:bookmarkStart w:id="23" w:name="reserva-de-derechos"/>
    <w:p>
      <w:pPr>
        <w:pStyle w:val="Heading2"/>
      </w:pPr>
      <w:r>
        <w:t xml:space="preserve">4. RESERVA DE DERECHOS</w:t>
      </w:r>
    </w:p>
    <w:p>
      <w:pPr>
        <w:pStyle w:val="FirstParagraph"/>
      </w:pPr>
      <w:r>
        <w:t xml:space="preserve">De no recibir una respuesta oportuna,</w:t>
      </w:r>
      <w:r>
        <w:t xml:space="preserve"> </w:t>
      </w:r>
      <w:r>
        <w:rPr>
          <w:bCs/>
          <w:b/>
        </w:rPr>
        <w:t xml:space="preserve">nos reservamos el derecho de presentar una queja por defecto de tramitación</w:t>
      </w:r>
      <w:r>
        <w:t xml:space="preserve"> </w:t>
      </w:r>
      <w:r>
        <w:t xml:space="preserve">conforme al TUO de la Ley N.° 27444, y de poner estos hechos en conocimiento del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, de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Dirección General de Salud Ambiental e Inocuidad Alimentaria – DIGESA</w:t>
      </w:r>
      <w:r>
        <w:t xml:space="preserve">, por tratarse de un tema de inocuidad alimentaria.</w:t>
      </w:r>
    </w:p>
    <w:p>
      <w:pPr>
        <w:pStyle w:val="BodyText"/>
      </w:pPr>
      <w:r>
        <w:t xml:space="preserve">Confiamos en que su Dirección atenderá este pedido con la seriedad que exige un tema de salud pública.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Ficha técnica publicada de ACEITE VEGETAL DE SOYA marca PALMA REAL (datos generales y numeral 6 – Documentos de habilitación).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Resolución Directoral N.° 7036-2023/DCEA/DIGESA/SA, del 01 de diciembre de 2023 (encabezado y Artículo 2 – vigencia de dos años).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Cargo de la Carta N.° 23032026-03 (Exp. N.° 2026-0002646) y correo del 19 de agosto de 2026.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[Captura actual de la ficha PALMA REAL en el portal de PERÚ COMPRAS, con fecha de hoy – RECOMENDADO]</w:t>
      </w:r>
    </w:p>
    <w:p>
      <w:r>
        <w:br w:type="page"/>
      </w:r>
    </w:p>
    <w:bookmarkEnd w:id="23"/>
    <w:bookmarkStart w:id="30" w:name="X1436a04ebb6552bbf2f160525ab03af9c80f6ac"/>
    <w:p>
      <w:pPr>
        <w:pStyle w:val="Heading2"/>
      </w:pPr>
      <w:r>
        <w:t xml:space="preserve">ANEXO 1 – Ficha técnica publicada (PALMA REAL)</w:t>
      </w:r>
    </w:p>
    <w:p>
      <w:pPr>
        <w:pStyle w:val="FirstParagraph"/>
      </w:pPr>
      <w:r>
        <w:rPr>
          <w:bCs/>
          <w:b/>
        </w:rPr>
        <w:t xml:space="preserve">1.1. Datos generales de la ficha: catálogo, categoría, productor y marca.</w:t>
      </w:r>
    </w:p>
    <w:p>
      <w:pPr>
        <w:pStyle w:val="BodyText"/>
      </w:pPr>
      <w:r>
        <w:drawing>
          <wp:inline>
            <wp:extent cx="5334000" cy="34646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nexos_haccp/a1_ficha_datos_general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1.2. Numeral 6 – Documentos de habilitación: el Plan HACCP (6.2) figura con vigencia al 01/12/2025.</w:t>
      </w:r>
    </w:p>
    <w:p>
      <w:pPr>
        <w:pStyle w:val="BodyText"/>
      </w:pPr>
      <w:r>
        <w:drawing>
          <wp:inline>
            <wp:extent cx="5334000" cy="260176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nexos_haccp/a1b_ficha_habilitacion_hacc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0"/>
    <w:bookmarkStart w:id="37" w:name="X4d19f1f9405135930094ceba9608666b08d64f0"/>
    <w:p>
      <w:pPr>
        <w:pStyle w:val="Heading2"/>
      </w:pPr>
      <w:r>
        <w:t xml:space="preserve">ANEXO 2 – Resolución Directoral N.° 7036-2023/DCEA/DIGESA/SA</w:t>
      </w:r>
    </w:p>
    <w:p>
      <w:pPr>
        <w:pStyle w:val="FirstParagraph"/>
      </w:pPr>
      <w:r>
        <w:rPr>
          <w:bCs/>
          <w:b/>
        </w:rPr>
        <w:t xml:space="preserve">2.1. Encabezado: emitida el 01 de diciembre de 2023 (Exp. N.° 88358-2023-CH).</w:t>
      </w:r>
    </w:p>
    <w:p>
      <w:pPr>
        <w:pStyle w:val="BodyText"/>
      </w:pPr>
      <w:r>
        <w:drawing>
          <wp:inline>
            <wp:extent cx="5039999" cy="320671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haccp/a2_rd_7036_2023_encabezad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20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Artículo 2: la vigencia es de dos (2) años desde su emisión, es decir, hasta el 01 de diciembre de 2025.</w:t>
      </w:r>
    </w:p>
    <w:p>
      <w:pPr>
        <w:pStyle w:val="BodyText"/>
      </w:pPr>
      <w:r>
        <w:drawing>
          <wp:inline>
            <wp:extent cx="5334000" cy="13001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haccp/a2b_rd_articulo2_vigenci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2026-10-07T15:53:46Z</dcterms:created>
  <dcterms:modified xsi:type="dcterms:W3CDTF">2026-10-07T15:53:46Z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