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4).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Listado oficial de Representantes de Marca con Acuerdo de Adhesión, publicado por PERÚ COMPRAS, actualizado al 22 de octubre de 2026 – Mobiliario en General y Materiales e Insumos de Limpieza (Anexo 3).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4),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2.6. A nuestros competidores sí se les formalizó el acuerdo.</w:t>
      </w:r>
      <w:r>
        <w:t xml:space="preserve"> </w:t>
      </w:r>
      <w:r>
        <w:t xml:space="preserve">Según el</w:t>
      </w:r>
      <w:r>
        <w:t xml:space="preserve"> </w:t>
      </w:r>
      <w:r>
        <w:rPr>
          <w:bCs/>
          <w:b/>
        </w:rPr>
        <w:t xml:space="preserve">listado oficial</w:t>
      </w:r>
      <w:r>
        <w:t xml:space="preserve"> </w:t>
      </w:r>
      <w:r>
        <w:t xml:space="preserve">de Representantes de Marca con Acuerdo de Adhesión publicado por PERÚ COMPRAS,</w:t>
      </w:r>
      <w:r>
        <w:t xml:space="preserve"> </w:t>
      </w:r>
      <w:r>
        <w:rPr>
          <w:bCs/>
          <w:b/>
        </w:rPr>
        <w:t xml:space="preserve">actualizado al 22 de octubre de 2026</w:t>
      </w:r>
      <w:r>
        <w:t xml:space="preserve"> </w:t>
      </w:r>
      <w:r>
        <w:t xml:space="preserve">(Anexo 3), la Entidad ya formalizó el acuerdo de</w:t>
      </w:r>
      <w:r>
        <w:t xml:space="preserve"> </w:t>
      </w:r>
      <w:r>
        <w:rPr>
          <w:bCs/>
          <w:b/>
        </w:rPr>
        <w:t xml:space="preserve">veinticuatro (24) representantes de marca</w:t>
      </w:r>
      <w:r>
        <w:t xml:space="preserve"> </w:t>
      </w:r>
      <w:r>
        <w:t xml:space="preserve">del Catálogo Electrónico de</w:t>
      </w:r>
      <w:r>
        <w:t xml:space="preserve"> </w:t>
      </w:r>
      <w:r>
        <w:rPr>
          <w:bCs/>
          <w:b/>
        </w:rPr>
        <w:t xml:space="preserve">Mobiliario en General (EXT-CE-2025-11)</w:t>
      </w:r>
      <w:r>
        <w:t xml:space="preserve">, en las</w:t>
      </w:r>
      <w:r>
        <w:t xml:space="preserve"> </w:t>
      </w:r>
      <w:r>
        <w:rPr>
          <w:bCs/>
          <w:b/>
        </w:rPr>
        <w:t xml:space="preserve">mismas categorías</w:t>
      </w:r>
      <w:r>
        <w:t xml:space="preserve"> </w:t>
      </w:r>
      <w:r>
        <w:t xml:space="preserve">de nuestra acreditación, incluidas marcas competidoras como</w:t>
      </w:r>
      <w:r>
        <w:t xml:space="preserve"> </w:t>
      </w:r>
      <w:r>
        <w:rPr>
          <w:bCs/>
          <w:b/>
        </w:rPr>
        <w:t xml:space="preserve">MOBISEAT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EC ERGOCORP</w:t>
      </w:r>
      <w:r>
        <w:t xml:space="preserve">. Lo mismo ocurre en el Catálogo de</w:t>
      </w:r>
      <w:r>
        <w:t xml:space="preserve"> </w:t>
      </w:r>
      <w:r>
        <w:rPr>
          <w:bCs/>
          <w:b/>
        </w:rPr>
        <w:t xml:space="preserve">Materiales e Insumos de Limpieza (EXT-CE-2024-3)</w:t>
      </w:r>
      <w:r>
        <w:t xml:space="preserve">: en la categoría</w:t>
      </w:r>
      <w:r>
        <w:t xml:space="preserve"> </w:t>
      </w:r>
      <w:r>
        <w:rPr>
          <w:bCs/>
          <w:b/>
        </w:rPr>
        <w:t xml:space="preserve">Desinfectantes</w:t>
      </w:r>
      <w:r>
        <w:t xml:space="preserve">, la de SQP-MIKROVAL, ya se formalizó el acuerdo de</w:t>
      </w:r>
      <w:r>
        <w:t xml:space="preserve"> </w:t>
      </w:r>
      <w:r>
        <w:rPr>
          <w:bCs/>
          <w:b/>
        </w:rPr>
        <w:t xml:space="preserve">cinco (5) representantes de marca</w:t>
      </w:r>
      <w:r>
        <w:t xml:space="preserve"> </w:t>
      </w:r>
      <w:r>
        <w:t xml:space="preserve">competidores.</w:t>
      </w:r>
      <w:r>
        <w:t xml:space="preserve"> </w:t>
      </w:r>
      <w:r>
        <w:rPr>
          <w:bCs/>
          <w:b/>
        </w:rPr>
        <w:t xml:space="preserve">SERVICIOS BARTEK E.I.R.L. no figura en ninguno de los dos catálogos</w:t>
      </w:r>
      <w:r>
        <w:t xml:space="preserve">, pese a haber cumplido el mismo plazo. Esto vulnera el principio de</w:t>
      </w:r>
      <w:r>
        <w:t xml:space="preserve"> </w:t>
      </w:r>
      <w:r>
        <w:rPr>
          <w:bCs/>
          <w:b/>
        </w:rPr>
        <w:t xml:space="preserve">igualdad de trato</w:t>
      </w:r>
      <w:r>
        <w:t xml:space="preserve">: mientras nuestro trámite está paralizado, los proveedores ofertan las marcas de la competencia y no la nuestra.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16102026-1, informando</w:t>
      </w:r>
      <w:r>
        <w:t xml:space="preserve"> </w:t>
      </w:r>
      <w:r>
        <w:rPr>
          <w:bCs/>
          <w:b/>
        </w:rPr>
        <w:t xml:space="preserve">qué criterio u orden</w:t>
      </w:r>
      <w:r>
        <w:t xml:space="preserve"> </w:t>
      </w:r>
      <w:r>
        <w:t xml:space="preserve">se ha seguido para formalizar los Acuerdos de Adhesión y</w:t>
      </w:r>
      <w:r>
        <w:t xml:space="preserve"> </w:t>
      </w:r>
      <w:r>
        <w:rPr>
          <w:bCs/>
          <w:b/>
        </w:rPr>
        <w:t xml:space="preserve">por qué el nuestro no ha sido formalizado</w:t>
      </w:r>
      <w:r>
        <w:t xml:space="preserve">, cuando sí lo fue el de otros representantes de marca del mismo catálogo.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Matilde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3:</w:t>
      </w:r>
      <w:r>
        <w:t xml:space="preserve"> </w:t>
      </w:r>
      <w:r>
        <w:t xml:space="preserve">Listado oficial de Representantes de Marca con Acuerdo de Adhesión al 22/10/2026 – Mobiliario en General y Desinfectantes.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  <w:jc w:val="both"/>
      </w:pPr>
      <w:r>
        <w:rPr>
          <w:bCs/>
          <w:b/>
        </w:rPr>
        <w:t xml:space="preserve">ANEXO 3 – Listado oficial de Representantes de Marca con Acuerdo de Adhesión, actualizado al 22/10/2026</w:t>
      </w:r>
    </w:p>
    <w:p>
      <w:pPr>
        <w:pStyle w:val="BodyText"/>
      </w:pPr>
      <w:r>
        <w:rPr>
          <w:bCs/>
          <w:b/>
        </w:rPr>
        <w:t xml:space="preserve">3.1. Mobiliario en General (EXT-CE-2025-11)</w:t>
      </w:r>
    </w:p>
    <w:p>
      <w:pPr>
        <w:pStyle w:val="BodyText"/>
        <w:jc w:val="both"/>
      </w:pPr>
      <w:r>
        <w:t xml:space="preserve">Fuente: PERÚ COMPRAS, central.perucompras.gob.pe/acuerdos-marco/representante-marca-acuerdo-adhesion.php (122 registros, resumidos por representante de marca).</w:t>
      </w:r>
      <w:r>
        <w:t xml:space="preserve"> </w:t>
      </w:r>
      <w:r>
        <w:rPr>
          <w:bCs/>
          <w:b/>
        </w:rPr>
        <w:t xml:space="preserve">SERVICIOS BARTEK E.I.R.L. (RUC 20610900551)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20609433249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INTERNATIONAL LOGISTICS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20611697849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ERGONOMIC PERU M &amp; G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M&amp;G ERGONOMIC 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20518903960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IMAX INT’L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ZIYAZ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10435658364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MOLLO QUISPECONDORI SERGIO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PITUMARCA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20612600156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ROSAS CANCHA 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LAUCHUNG SILLAS DE OFICINA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20613147901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ALYMAR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ERGOOFI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10477007843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JULCA CONDOR SHAROL OSVALDA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10448991968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ZEVALLOS LUNA ARTURO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ZJ ZEJIM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20269863626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GROUP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SPACE, FURSYS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20547892039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 PERU SOCIEDAD ANONIMA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20605711619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SILLAS DE OFICINA Y HOGAR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20611719818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ERGOCORP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 ERGOCORP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20613791222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SILLAS Y MUEBLES ERGONÓMICOS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20553342181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UTILES MERCANTIL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DESING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20600346289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MOBISEAT</w:t>
            </w:r>
            <w:r>
              <w:t xml:space="preserve">, NOVALUXE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20608661701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DICSA PERU E &amp; C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ErgoRelax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20613870319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EKOMOBA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10733213979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TANANTA HUAMAN ANDY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10737087331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NEGRON RIVA DHALIN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 NEGRON LOGISTIC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20544434391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SERVIMUEBLES CAMIL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&amp; P, KUSISILLAS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20610494715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MEDIAKRON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MOBILUX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20611553570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20612676977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IMPORTACION ASIA AMERICA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CHAIR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20606732288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MULTISERVICIOS ALESSIA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ALLU</w:t>
            </w:r>
          </w:p>
        </w:tc>
      </w:tr>
    </w:tbl>
    <w:p>
      <w:pPr>
        <w:pStyle w:val="BodyText"/>
      </w:pPr>
      <w:r>
        <w:rPr>
          <w:bCs/>
          <w:b/>
        </w:rPr>
        <w:t xml:space="preserve">3.2. Materiales e Insumos de Limpieza (EXT-CE-2024-3) – categoría Desinfectantes</w:t>
      </w:r>
    </w:p>
    <w:p>
      <w:pPr>
        <w:pStyle w:val="BodyText"/>
      </w:pPr>
      <w:r>
        <w:t xml:space="preserve">Fuente: misma página (165 registros del catálogo).</w:t>
      </w:r>
      <w:r>
        <w:t xml:space="preserve"> </w:t>
      </w:r>
      <w:r>
        <w:rPr>
          <w:bCs/>
          <w:b/>
        </w:rPr>
        <w:t xml:space="preserve">SERVICIOS BARTEK E.I.R.L.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20550350166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 &amp; LABORATORIO SOL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20479966355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PRODUCTOS LAMOSA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MR. BOOG EL ALIADO DE TU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20334140645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INDUSTRIAS DALHI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DALHI COMBATIENTES DE LA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20611606355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BAYONETT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 CLEANER SPECIAL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20349751080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SEÑOR DE HUANCA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LEONSOL</w:t>
            </w:r>
          </w:p>
        </w:tc>
      </w:tr>
    </w:tbl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2026-10-26T14:37:26Z</dcterms:created>
  <dcterms:modified xsi:type="dcterms:W3CDTF">2026-10-26T14:37:26Z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