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07102026-2-ABS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3618-2022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(Carta N.° 07102026-1).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  <w:jc w:val="bot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  <w:jc w:val="both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  <w:jc w:val="bot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3618-2022.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Consulta del Expediente SIAF N.° 3618-2022 (giro de S/ 3,482.27 y rebaja de S/ 1,741.12).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003413-2026-PERÚ COMPRAS-DCEME, del 21 de julio de 2026.</w:t>
      </w:r>
    </w:p>
    <w:p>
      <w:pPr>
        <w:pStyle w:val="FirstParagraph"/>
        <w:jc w:val="both"/>
      </w:pPr>
      <w:r>
        <w:rPr>
          <w:iCs/>
          <w:i/>
        </w:rPr>
        <w:t xml:space="preserve">Los demás antecedentes (orden de compra, guía de remisión, factura y oficios de PERÚ COMPRAS de 2024) obran en la carta dirigida al Alcalde, remitida en copia a su despacho.</w:t>
      </w:r>
    </w:p>
    <w:p>
      <w:r>
        <w:br w:type="page"/>
      </w:r>
    </w:p>
    <w:p>
      <w:pPr>
        <w:pStyle w:val="BodyText"/>
      </w:pPr>
      <w:r>
        <w:drawing>
          <wp:inline>
            <wp:extent cx="5334000" cy="498238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anexos_huacho/siaf_3618_clar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1 – Consulta del Expediente SIAF N.° 3618-2022: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anexos_huacho/ag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anexos_huacho/a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2 (cont.) – PERÚ COMPRAS corrobora el incumplimiento de la Municipalidad y lo traslada al OCI.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25" Type="http://schemas.openxmlformats.org/officeDocument/2006/relationships/image" Target="media/rId25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2026-10-09T16:31:22Z</dcterms:created>
  <dcterms:modified xsi:type="dcterms:W3CDTF">2026-10-09T16:31:22Z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