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FirstParagraph"/>
      </w:pPr>
      <w:r>
        <w:t xml:space="preserve">Lima, 26 de octubre de 2026</w:t>
      </w:r>
    </w:p>
    <w:p>
      <w:pPr>
        <w:pStyle w:val="BodyText"/>
      </w:pPr>
      <w:r>
        <w:rPr>
          <w:bCs/>
          <w:b/>
        </w:rPr>
        <w:t xml:space="preserve">SUMILLA: QUEJA POR DEFECTO DE TRAMITACIÓN</w:t>
      </w:r>
    </w:p>
    <w:p>
      <w:pPr>
        <w:pStyle w:val="BodyText"/>
      </w:pPr>
      <w:r>
        <w:t xml:space="preserve">Señor</w:t>
      </w:r>
      <w:r>
        <w:br/>
      </w:r>
      <w:r>
        <w:rPr>
          <w:bCs/>
          <w:b/>
        </w:rPr>
        <w:t xml:space="preserve">JORGE ALBERTO ZAPATA GALLO</w:t>
      </w:r>
      <w:r>
        <w:br/>
      </w:r>
      <w:r>
        <w:t xml:space="preserve">Jefe de la Central de Compras Públicas –</w:t>
      </w:r>
      <w:r>
        <w:t xml:space="preserve"> </w:t>
      </w:r>
      <w:r>
        <w:rPr>
          <w:bCs/>
          <w:b/>
        </w:rPr>
        <w:t xml:space="preserve">PERÚ COMPRAS</w:t>
      </w:r>
      <w:r>
        <w:br/>
      </w:r>
      <w:r>
        <w:t xml:space="preserve">Av. República de Panamá N.° 3629, San Isidro, Lima</w:t>
      </w:r>
      <w:r>
        <w:br/>
      </w:r>
      <w:r>
        <w:t xml:space="preserve">Presente.–</w:t>
      </w:r>
    </w:p>
    <w:p>
      <w:pPr>
        <w:pStyle w:val="BodyText"/>
      </w:pPr>
      <w:r>
        <w:rPr>
          <w:bCs/>
          <w:b/>
        </w:rPr>
        <w:t xml:space="preserve">QUEJADO:</w:t>
      </w:r>
      <w:r>
        <w:t xml:space="preserve"> </w:t>
      </w:r>
      <w:r>
        <w:t xml:space="preserve">Dirección de Compras Electrónicas y Modalidades Eficientes – DCEME.</w:t>
      </w:r>
    </w:p>
    <w:p>
      <w:pPr>
        <w:pStyle w:val="BodyText"/>
      </w:pPr>
      <w:r>
        <w:rPr>
          <w:bCs/>
          <w:b/>
        </w:rPr>
        <w:t xml:space="preserve">REFERENCIAS:</w:t>
      </w:r>
    </w:p>
    <w:p>
      <w:pPr>
        <w:numPr>
          <w:ilvl w:val="0"/>
          <w:numId w:val="1001"/>
        </w:numPr>
        <w:pStyle w:val="Compact"/>
      </w:pPr>
      <w:r>
        <w:t xml:space="preserve">Carta N.° 16102026-1-SERVICIOS BARTEK E.I.R.L., del 16 de octubre de 2026 (Anexo 4).</w:t>
      </w:r>
    </w:p>
    <w:p>
      <w:pPr>
        <w:numPr>
          <w:ilvl w:val="0"/>
          <w:numId w:val="1001"/>
        </w:numPr>
        <w:pStyle w:val="Compact"/>
        <w:jc w:val="both"/>
      </w:pPr>
      <w:r>
        <w:t xml:space="preserve">Correo de la DCEME (acreditacionrm@perucompras.gob.pe) del 16 de octubre de 2026 (Anexo 1).</w:t>
      </w:r>
    </w:p>
    <w:p>
      <w:pPr>
        <w:numPr>
          <w:ilvl w:val="0"/>
          <w:numId w:val="1001"/>
        </w:numPr>
        <w:pStyle w:val="Compact"/>
      </w:pPr>
      <w:r>
        <w:t xml:space="preserve">Reclamo en el Libro de Reclamaciones, código</w:t>
      </w:r>
      <w:r>
        <w:t xml:space="preserve"> </w:t>
      </w:r>
      <w:r>
        <w:rPr>
          <w:bCs/>
          <w:b/>
        </w:rPr>
        <w:t xml:space="preserve">pp4c2lqjm</w:t>
      </w:r>
      <w:r>
        <w:t xml:space="preserve">, del 07 de octubre de 2026.</w:t>
      </w:r>
    </w:p>
    <w:p>
      <w:pPr>
        <w:numPr>
          <w:ilvl w:val="0"/>
          <w:numId w:val="1001"/>
        </w:numPr>
        <w:pStyle w:val="Compact"/>
        <w:jc w:val="both"/>
      </w:pPr>
      <w:r>
        <w:t xml:space="preserve">Listado oficial de Representantes de Marca con Acuerdo de Adhesión, publicado por PERÚ COMPRAS, actualizado al 22 de octubre de 2026 (Anexo 3).</w:t>
      </w:r>
    </w:p>
    <w:p>
      <w:r>
        <w:pict>
          <v:rect style="width:0;height:1.5pt" o:hralign="center" o:hrstd="t" o:hr="t"/>
        </w:pict>
      </w:r>
    </w:p>
    <w:p>
      <w:pPr>
        <w:pStyle w:val="FirstParagraph"/>
        <w:jc w:val="both"/>
      </w:pPr>
      <w:r>
        <w:rPr>
          <w:bCs/>
          <w:b/>
        </w:rPr>
        <w:t xml:space="preserve">SERVICIOS BARTEK E.I.R.L.</w:t>
      </w:r>
      <w:r>
        <w:t xml:space="preserve">, con RUC N.°</w:t>
      </w:r>
      <w:r>
        <w:t xml:space="preserve"> </w:t>
      </w:r>
      <w:r>
        <w:rPr>
          <w:bCs/>
          <w:b/>
        </w:rPr>
        <w:t xml:space="preserve">20610900551</w:t>
      </w:r>
      <w:r>
        <w:t xml:space="preserve">, representada por su Gerente,</w:t>
      </w:r>
      <w:r>
        <w:t xml:space="preserve"> </w:t>
      </w:r>
      <w:r>
        <w:rPr>
          <w:bCs/>
          <w:b/>
        </w:rPr>
        <w:t xml:space="preserve">FAVIOLA MATILDE ORIHUELA PIMENTEL</w:t>
      </w:r>
      <w:r>
        <w:t xml:space="preserve">, identificada con DNI N.°</w:t>
      </w:r>
      <w:r>
        <w:t xml:space="preserve"> </w:t>
      </w:r>
      <w:r>
        <w:rPr>
          <w:bCs/>
          <w:b/>
        </w:rPr>
        <w:t xml:space="preserve">10790531</w:t>
      </w:r>
      <w:r>
        <w:t xml:space="preserve">, presenta</w:t>
      </w:r>
      <w:r>
        <w:t xml:space="preserve"> </w:t>
      </w:r>
      <w:r>
        <w:rPr>
          <w:bCs/>
          <w:b/>
        </w:rPr>
        <w:t xml:space="preserve">QUEJA POR DEFECTO DE TRAMITACIÓN</w:t>
      </w:r>
      <w:r>
        <w:t xml:space="preserve"> </w:t>
      </w:r>
      <w:r>
        <w:t xml:space="preserve">contra la DCEME, conforme al</w:t>
      </w:r>
      <w:r>
        <w:t xml:space="preserve"> </w:t>
      </w:r>
      <w:r>
        <w:rPr>
          <w:bCs/>
          <w:b/>
        </w:rPr>
        <w:t xml:space="preserve">artículo 169 del TUO de la Ley N.° 27444</w:t>
      </w:r>
      <w:r>
        <w:t xml:space="preserve">, Ley del Procedimiento Administrativo General, aprobado por Decreto Supremo N.° 004-2019-JUS, por la</w:t>
      </w:r>
      <w:r>
        <w:t xml:space="preserve"> </w:t>
      </w:r>
      <w:r>
        <w:rPr>
          <w:bCs/>
          <w:b/>
        </w:rPr>
        <w:t xml:space="preserve">paralización</w:t>
      </w:r>
      <w:r>
        <w:t xml:space="preserve"> </w:t>
      </w:r>
      <w:r>
        <w:t xml:space="preserve">del trámite de formalización de nuestro</w:t>
      </w:r>
      <w:r>
        <w:t xml:space="preserve"> </w:t>
      </w:r>
      <w:r>
        <w:rPr>
          <w:bCs/>
          <w:b/>
        </w:rPr>
        <w:t xml:space="preserve">Acuerdo de Adhesión</w:t>
      </w:r>
      <w:r>
        <w:t xml:space="preserve">.</w:t>
      </w:r>
    </w:p>
    <w:bookmarkStart w:id="20" w:name="hechos"/>
    <w:p>
      <w:pPr>
        <w:pStyle w:val="Heading2"/>
      </w:pPr>
      <w:r>
        <w:t xml:space="preserve">1. HECHOS</w:t>
      </w:r>
    </w:p>
    <w:p>
      <w:pPr>
        <w:pStyle w:val="FirstParagraph"/>
        <w:jc w:val="both"/>
      </w:pPr>
      <w:r>
        <w:rPr>
          <w:bCs/>
          <w:b/>
        </w:rPr>
        <w:t xml:space="preserve">1.1.</w:t>
      </w:r>
      <w:r>
        <w:t xml:space="preserve"> </w:t>
      </w:r>
      <w:r>
        <w:t xml:space="preserve">Somos representante de marca acreditado de las marcas</w:t>
      </w:r>
      <w:r>
        <w:t xml:space="preserve"> </w:t>
      </w:r>
      <w:r>
        <w:rPr>
          <w:bCs/>
          <w:b/>
        </w:rPr>
        <w:t xml:space="preserve">MOBIS</w:t>
      </w:r>
      <w:r>
        <w:t xml:space="preserve"> </w:t>
      </w:r>
      <w:r>
        <w:t xml:space="preserve">(Mobiliario en General) y</w:t>
      </w:r>
      <w:r>
        <w:t xml:space="preserve"> </w:t>
      </w:r>
      <w:r>
        <w:rPr>
          <w:bCs/>
          <w:b/>
        </w:rPr>
        <w:t xml:space="preserve">SQP-MIKROVAL</w:t>
      </w:r>
      <w:r>
        <w:t xml:space="preserve"> </w:t>
      </w:r>
      <w:r>
        <w:t xml:space="preserve">(Desinfectantes), según el</w:t>
      </w:r>
      <w:r>
        <w:t xml:space="preserve"> </w:t>
      </w:r>
      <w:r>
        <w:rPr>
          <w:bCs/>
          <w:b/>
        </w:rPr>
        <w:t xml:space="preserve">Formato N.° 397-2025-ARM</w:t>
      </w:r>
      <w:r>
        <w:t xml:space="preserve">, del 10 de junio de 2025.</w:t>
      </w:r>
    </w:p>
    <w:p>
      <w:pPr>
        <w:pStyle w:val="BodyText"/>
        <w:jc w:val="both"/>
      </w:pPr>
      <w:r>
        <w:rPr>
          <w:bCs/>
          <w:b/>
        </w:rPr>
        <w:t xml:space="preserve">1.2.</w:t>
      </w:r>
      <w:r>
        <w:t xml:space="preserve"> </w:t>
      </w:r>
      <w:r>
        <w:t xml:space="preserve">Mediante el</w:t>
      </w:r>
      <w:r>
        <w:t xml:space="preserve"> </w:t>
      </w:r>
      <w:r>
        <w:rPr>
          <w:bCs/>
          <w:b/>
        </w:rPr>
        <w:t xml:space="preserve">Comunicado N.° 040-2026-PERÚ COMPRAS</w:t>
      </w:r>
      <w:r>
        <w:t xml:space="preserve">, se requirió a los representantes de marca suscribir el Acuerdo de Adhesión</w:t>
      </w:r>
      <w:r>
        <w:t xml:space="preserve"> </w:t>
      </w:r>
      <w:r>
        <w:rPr>
          <w:bCs/>
          <w:b/>
        </w:rPr>
        <w:t xml:space="preserve">hasta el 31 de julio de 2026</w:t>
      </w:r>
      <w:r>
        <w:t xml:space="preserve">, y de manera excepcional hasta el</w:t>
      </w:r>
      <w:r>
        <w:t xml:space="preserve"> </w:t>
      </w:r>
      <w:r>
        <w:rPr>
          <w:bCs/>
          <w:b/>
        </w:rPr>
        <w:t xml:space="preserve">07 de agosto de 2026</w:t>
      </w:r>
      <w:r>
        <w:t xml:space="preserve">.</w:t>
      </w:r>
      <w:r>
        <w:t xml:space="preserve"> </w:t>
      </w:r>
      <w:r>
        <w:rPr>
          <w:bCs/>
          <w:b/>
        </w:rPr>
        <w:t xml:space="preserve">Cumplimos.</w:t>
      </w:r>
    </w:p>
    <w:p>
      <w:pPr>
        <w:pStyle w:val="BodyText"/>
      </w:pPr>
      <w:r>
        <w:rPr>
          <w:bCs/>
          <w:b/>
        </w:rPr>
        <w:t xml:space="preserve">1.3.</w:t>
      </w:r>
      <w:r>
        <w:t xml:space="preserve"> </w:t>
      </w:r>
      <w:r>
        <w:t xml:space="preserve">La propia DCEME, en su correo del 16 de octubre de 2026 (Anexo 1),</w:t>
      </w:r>
      <w:r>
        <w:t xml:space="preserve"> </w:t>
      </w:r>
      <w:r>
        <w:rPr>
          <w:bCs/>
          <w:b/>
        </w:rPr>
        <w:t xml:space="preserve">reconoce</w:t>
      </w:r>
      <w:r>
        <w:t xml:space="preserve"> </w:t>
      </w:r>
      <w:r>
        <w:t xml:space="preserve">que:</w:t>
      </w:r>
    </w:p>
    <w:p>
      <w:pPr>
        <w:numPr>
          <w:ilvl w:val="0"/>
          <w:numId w:val="1002"/>
        </w:numPr>
        <w:pStyle w:val="Compact"/>
      </w:pPr>
      <w:r>
        <w:t xml:space="preserve">SERVICIOS BARTEK E.I.R.L.</w:t>
      </w:r>
      <w:r>
        <w:t xml:space="preserve"> </w:t>
      </w:r>
      <w:r>
        <w:rPr>
          <w:bCs/>
          <w:b/>
        </w:rPr>
        <w:t xml:space="preserve">cumplió con presentar el Acuerdo de Adhesión</w:t>
      </w:r>
      <w:r>
        <w:t xml:space="preserve"> </w:t>
      </w:r>
      <w:r>
        <w:t xml:space="preserve">y sus anexos.</w:t>
      </w:r>
    </w:p>
    <w:p>
      <w:pPr>
        <w:numPr>
          <w:ilvl w:val="0"/>
          <w:numId w:val="1002"/>
        </w:numPr>
        <w:pStyle w:val="Compact"/>
      </w:pPr>
      <w:r>
        <w:t xml:space="preserve">La formalización está</w:t>
      </w:r>
      <w:r>
        <w:t xml:space="preserve"> </w:t>
      </w:r>
      <w:r>
        <w:rPr>
          <w:bCs/>
          <w:b/>
        </w:rPr>
        <w:t xml:space="preserve">pendiente por parte de PERÚ COMPRAS</w:t>
      </w:r>
      <w:r>
        <w:t xml:space="preserve">.</w:t>
      </w:r>
    </w:p>
    <w:p>
      <w:pPr>
        <w:numPr>
          <w:ilvl w:val="0"/>
          <w:numId w:val="1002"/>
        </w:numPr>
        <w:pStyle w:val="Compact"/>
        <w:jc w:val="both"/>
      </w:pPr>
      <w:r>
        <w:t xml:space="preserve">Por esa razón, nuestras</w:t>
      </w:r>
      <w:r>
        <w:t xml:space="preserve"> </w:t>
      </w:r>
      <w:r>
        <w:rPr>
          <w:bCs/>
          <w:b/>
        </w:rPr>
        <w:t xml:space="preserve">22 Fichas-Producto MOBIS en estado OFERTADO</w:t>
      </w:r>
      <w:r>
        <w:t xml:space="preserve"> </w:t>
      </w:r>
      <w:r>
        <w:t xml:space="preserve">no están habilitadas para los proveedores, y no podemos gestionarlas.</w:t>
      </w:r>
    </w:p>
    <w:p>
      <w:pPr>
        <w:pStyle w:val="FirstParagraph"/>
        <w:jc w:val="both"/>
      </w:pPr>
      <w:r>
        <w:rPr>
          <w:bCs/>
          <w:b/>
        </w:rPr>
        <w:t xml:space="preserve">1.4.</w:t>
      </w:r>
      <w:r>
        <w:t xml:space="preserve"> </w:t>
      </w:r>
      <w:r>
        <w:t xml:space="preserve">Por el mismo motivo, nuestras</w:t>
      </w:r>
      <w:r>
        <w:t xml:space="preserve"> </w:t>
      </w:r>
      <w:r>
        <w:rPr>
          <w:bCs/>
          <w:b/>
        </w:rPr>
        <w:t xml:space="preserve">3 Fichas-Producto SQP-MIKROVAL</w:t>
      </w:r>
      <w:r>
        <w:t xml:space="preserve"> </w:t>
      </w:r>
      <w:r>
        <w:t xml:space="preserve">(N.° 2007274, 2298513 y 2298514) fueron</w:t>
      </w:r>
      <w:r>
        <w:t xml:space="preserve"> </w:t>
      </w:r>
      <w:r>
        <w:rPr>
          <w:bCs/>
          <w:b/>
        </w:rPr>
        <w:t xml:space="preserve">observadas</w:t>
      </w:r>
      <w:r>
        <w:t xml:space="preserve"> </w:t>
      </w:r>
      <w:r>
        <w:t xml:space="preserve">el 29 de septiembre de 2026 y solo podrán subsanarse cuando el Acuerdo de Adhesión esté</w:t>
      </w:r>
      <w:r>
        <w:t xml:space="preserve"> </w:t>
      </w:r>
      <w:r>
        <w:rPr>
          <w:iCs/>
          <w:i/>
        </w:rPr>
        <w:t xml:space="preserve">“</w:t>
      </w:r>
      <w:r>
        <w:rPr>
          <w:iCs/>
          <w:i/>
        </w:rPr>
        <w:t xml:space="preserve">debidamente formalizado por ambas partes</w:t>
      </w:r>
      <w:r>
        <w:rPr>
          <w:iCs/>
          <w:i/>
        </w:rPr>
        <w:t xml:space="preserve">”</w:t>
      </w:r>
      <w:r>
        <w:t xml:space="preserve"> </w:t>
      </w:r>
      <w:r>
        <w:t xml:space="preserve">(Anexo 2).</w:t>
      </w:r>
    </w:p>
    <w:p>
      <w:pPr>
        <w:pStyle w:val="BodyText"/>
        <w:jc w:val="both"/>
      </w:pPr>
      <w:r>
        <w:rPr>
          <w:bCs/>
          <w:b/>
        </w:rPr>
        <w:t xml:space="preserve">1.5.</w:t>
      </w:r>
      <w:r>
        <w:t xml:space="preserve"> </w:t>
      </w:r>
      <w:r>
        <w:t xml:space="preserve">El 16 de octubre de 2026 remitimos la</w:t>
      </w:r>
      <w:r>
        <w:t xml:space="preserve"> </w:t>
      </w:r>
      <w:r>
        <w:rPr>
          <w:bCs/>
          <w:b/>
        </w:rPr>
        <w:t xml:space="preserve">Carta N.° 16102026-1</w:t>
      </w:r>
      <w:r>
        <w:t xml:space="preserve"> </w:t>
      </w:r>
      <w:r>
        <w:t xml:space="preserve">(Anexo 4), pidiendo la formalización y la habilitación de nuestras fichas en</w:t>
      </w:r>
      <w:r>
        <w:t xml:space="preserve"> </w:t>
      </w:r>
      <w:r>
        <w:rPr>
          <w:bCs/>
          <w:b/>
        </w:rPr>
        <w:t xml:space="preserve">cinco (5) días hábiles</w:t>
      </w:r>
      <w:r>
        <w:t xml:space="preserve">.</w:t>
      </w:r>
      <w:r>
        <w:t xml:space="preserve"> </w:t>
      </w:r>
      <w:r>
        <w:rPr>
          <w:bCs/>
          <w:b/>
        </w:rPr>
        <w:t xml:space="preserve">El plazo venció sin respuesta.</w:t>
      </w:r>
    </w:p>
    <w:p>
      <w:pPr>
        <w:pStyle w:val="BodyText"/>
        <w:jc w:val="both"/>
      </w:pPr>
      <w:r>
        <w:rPr>
          <w:bCs/>
          <w:b/>
        </w:rPr>
        <w:t xml:space="preserve">1.6.</w:t>
      </w:r>
      <w:r>
        <w:t xml:space="preserve"> </w:t>
      </w:r>
      <w:r>
        <w:t xml:space="preserve">Han pasado</w:t>
      </w:r>
      <w:r>
        <w:t xml:space="preserve"> </w:t>
      </w:r>
      <w:r>
        <w:rPr>
          <w:bCs/>
          <w:b/>
        </w:rPr>
        <w:t xml:space="preserve">más de dos meses y medio</w:t>
      </w:r>
      <w:r>
        <w:t xml:space="preserve"> </w:t>
      </w:r>
      <w:r>
        <w:t xml:space="preserve">desde el plazo del 07 de agosto de 2026. La formalización sigue</w:t>
      </w:r>
      <w:r>
        <w:t xml:space="preserve"> </w:t>
      </w:r>
      <w:r>
        <w:rPr>
          <w:iCs/>
          <w:i/>
        </w:rPr>
        <w:t xml:space="preserve">“</w:t>
      </w:r>
      <w:r>
        <w:rPr>
          <w:iCs/>
          <w:i/>
        </w:rPr>
        <w:t xml:space="preserve">en trámite</w:t>
      </w:r>
      <w:r>
        <w:rPr>
          <w:iCs/>
          <w:i/>
        </w:rPr>
        <w:t xml:space="preserve">”</w:t>
      </w:r>
      <w:r>
        <w:t xml:space="preserve">,</w:t>
      </w:r>
      <w:r>
        <w:t xml:space="preserve"> </w:t>
      </w:r>
      <w:r>
        <w:rPr>
          <w:bCs/>
          <w:b/>
        </w:rPr>
        <w:t xml:space="preserve">sin plazo ni fecha</w:t>
      </w:r>
      <w:r>
        <w:t xml:space="preserve">.</w:t>
      </w:r>
    </w:p>
    <w:bookmarkEnd w:id="20"/>
    <w:bookmarkStart w:id="21" w:name="deberes-infringidos"/>
    <w:p>
      <w:pPr>
        <w:pStyle w:val="Heading2"/>
      </w:pPr>
      <w:r>
        <w:t xml:space="preserve">2. DEBERES INFRINGIDOS</w:t>
      </w:r>
    </w:p>
    <w:p>
      <w:pPr>
        <w:pStyle w:val="FirstParagraph"/>
        <w:jc w:val="both"/>
      </w:pPr>
      <w:r>
        <w:rPr>
          <w:bCs/>
          <w:b/>
        </w:rPr>
        <w:t xml:space="preserve">2.1. Formalizar el Acuerdo de Adhesión le corresponde solo a PERÚ COMPRAS.</w:t>
      </w:r>
      <w:r>
        <w:t xml:space="preserve"> </w:t>
      </w:r>
      <w:r>
        <w:t xml:space="preserve">El</w:t>
      </w:r>
      <w:r>
        <w:t xml:space="preserve"> </w:t>
      </w:r>
      <w:r>
        <w:rPr>
          <w:bCs/>
          <w:b/>
        </w:rPr>
        <w:t xml:space="preserve">literal b) del numeral 9.1.2 de la Directiva N.° 005-2025-PERÚ COMPRAS (Versión 2)</w:t>
      </w:r>
      <w:r>
        <w:t xml:space="preserve"> </w:t>
      </w:r>
      <w:r>
        <w:t xml:space="preserve">dispone que la formalización la realiza la</w:t>
      </w:r>
      <w:r>
        <w:t xml:space="preserve"> </w:t>
      </w:r>
      <w:r>
        <w:rPr>
          <w:bCs/>
          <w:b/>
        </w:rPr>
        <w:t xml:space="preserve">DCEME, previa autorización de la Jefatura</w:t>
      </w:r>
      <w:r>
        <w:t xml:space="preserve">. Nuestra empresa no puede hacer nada más.</w:t>
      </w:r>
    </w:p>
    <w:p>
      <w:pPr>
        <w:pStyle w:val="BodyText"/>
        <w:jc w:val="both"/>
      </w:pPr>
      <w:r>
        <w:rPr>
          <w:bCs/>
          <w:b/>
        </w:rPr>
        <w:t xml:space="preserve">2.2. Los plazos obligan a la Administración.</w:t>
      </w:r>
      <w:r>
        <w:t xml:space="preserve"> </w:t>
      </w:r>
      <w:r>
        <w:t xml:space="preserve">El</w:t>
      </w:r>
      <w:r>
        <w:t xml:space="preserve"> </w:t>
      </w:r>
      <w:r>
        <w:rPr>
          <w:bCs/>
          <w:b/>
        </w:rPr>
        <w:t xml:space="preserve">artículo 142 del TUO de la Ley N.° 27444</w:t>
      </w:r>
      <w:r>
        <w:t xml:space="preserve"> </w:t>
      </w:r>
      <w:r>
        <w:t xml:space="preserve">establece que los plazos son</w:t>
      </w:r>
      <w:r>
        <w:t xml:space="preserve"> </w:t>
      </w:r>
      <w:r>
        <w:rPr>
          <w:bCs/>
          <w:b/>
        </w:rPr>
        <w:t xml:space="preserve">máximos</w:t>
      </w:r>
      <w:r>
        <w:t xml:space="preserve"> </w:t>
      </w:r>
      <w:r>
        <w:t xml:space="preserve">y</w:t>
      </w:r>
      <w:r>
        <w:t xml:space="preserve"> </w:t>
      </w:r>
      <w:r>
        <w:rPr>
          <w:bCs/>
          <w:b/>
        </w:rPr>
        <w:t xml:space="preserve">obligan por igual a la administración y a los administrados</w:t>
      </w:r>
      <w:r>
        <w:t xml:space="preserve">. A falta de un plazo especial, el</w:t>
      </w:r>
      <w:r>
        <w:t xml:space="preserve"> </w:t>
      </w:r>
      <w:r>
        <w:rPr>
          <w:bCs/>
          <w:b/>
        </w:rPr>
        <w:t xml:space="preserve">artículo 39</w:t>
      </w:r>
      <w:r>
        <w:t xml:space="preserve"> </w:t>
      </w:r>
      <w:r>
        <w:t xml:space="preserve">fija un máximo de</w:t>
      </w:r>
      <w:r>
        <w:t xml:space="preserve"> </w:t>
      </w:r>
      <w:r>
        <w:rPr>
          <w:bCs/>
          <w:b/>
        </w:rPr>
        <w:t xml:space="preserve">treinta (30) días hábiles</w:t>
      </w:r>
      <w:r>
        <w:t xml:space="preserve"> </w:t>
      </w:r>
      <w:r>
        <w:t xml:space="preserve">para resolver. Contado desde el 07 de agosto de 2026, ese plazo</w:t>
      </w:r>
      <w:r>
        <w:t xml:space="preserve"> </w:t>
      </w:r>
      <w:r>
        <w:rPr>
          <w:bCs/>
          <w:b/>
        </w:rPr>
        <w:t xml:space="preserve">venció en septiembre de 2026</w:t>
      </w:r>
      <w:r>
        <w:t xml:space="preserve">.</w:t>
      </w:r>
    </w:p>
    <w:p>
      <w:pPr>
        <w:pStyle w:val="BodyText"/>
        <w:jc w:val="both"/>
      </w:pPr>
      <w:r>
        <w:rPr>
          <w:bCs/>
          <w:b/>
        </w:rPr>
        <w:t xml:space="preserve">2.3. Se vulnera el principio de celeridad</w:t>
      </w:r>
      <w:r>
        <w:t xml:space="preserve"> </w:t>
      </w:r>
      <w:r>
        <w:t xml:space="preserve">(numeral 1.9 del artículo IV del Título Preliminar del TUO de la Ley N.° 27444), que obliga a la autoridad a evitar actuaciones que dificulten su desenvolvimiento y a no dilatar el procedimiento.</w:t>
      </w:r>
    </w:p>
    <w:p>
      <w:pPr>
        <w:pStyle w:val="BodyText"/>
        <w:jc w:val="both"/>
      </w:pPr>
      <w:r>
        <w:rPr>
          <w:bCs/>
          <w:b/>
        </w:rPr>
        <w:t xml:space="preserve">2.4. Se vulnera el derecho de petición</w:t>
      </w:r>
      <w:r>
        <w:t xml:space="preserve"> </w:t>
      </w:r>
      <w:r>
        <w:t xml:space="preserve">(artículo 2, inciso 20 de la Constitución), porque nuestra Carta N.° 16102026-1 no fue respondida.</w:t>
      </w:r>
    </w:p>
    <w:p>
      <w:pPr>
        <w:pStyle w:val="BodyText"/>
        <w:jc w:val="both"/>
      </w:pPr>
      <w:r>
        <w:rPr>
          <w:bCs/>
          <w:b/>
        </w:rPr>
        <w:t xml:space="preserve">2.5. El perjuicio es directo y continuo.</w:t>
      </w:r>
      <w:r>
        <w:t xml:space="preserve"> </w:t>
      </w:r>
      <w:r>
        <w:t xml:space="preserve">Cada mes que pasa, los proveedores no pueden ofertar nuestras 22 fichas MOBIS ni podemos subsanar las 3 fichas SQP-MIKROVAL,</w:t>
      </w:r>
      <w:r>
        <w:t xml:space="preserve"> </w:t>
      </w:r>
      <w:r>
        <w:rPr>
          <w:bCs/>
          <w:b/>
        </w:rPr>
        <w:t xml:space="preserve">por una demora que no nos es imputable</w:t>
      </w:r>
      <w:r>
        <w:t xml:space="preserve">.</w:t>
      </w:r>
    </w:p>
    <w:p>
      <w:pPr>
        <w:pStyle w:val="BodyText"/>
        <w:jc w:val="both"/>
      </w:pPr>
      <w:r>
        <w:rPr>
          <w:bCs/>
          <w:b/>
        </w:rPr>
        <w:t xml:space="preserve">2.6. A nuestros competidores sí se les formalizó el acuerdo.</w:t>
      </w:r>
      <w:r>
        <w:t xml:space="preserve"> </w:t>
      </w:r>
      <w:r>
        <w:t xml:space="preserve">Según el</w:t>
      </w:r>
      <w:r>
        <w:t xml:space="preserve"> </w:t>
      </w:r>
      <w:r>
        <w:rPr>
          <w:bCs/>
          <w:b/>
        </w:rPr>
        <w:t xml:space="preserve">listado oficial</w:t>
      </w:r>
      <w:r>
        <w:t xml:space="preserve"> </w:t>
      </w:r>
      <w:r>
        <w:t xml:space="preserve">de Representantes de Marca con Acuerdo de Adhesión publicado por PERÚ COMPRAS,</w:t>
      </w:r>
      <w:r>
        <w:t xml:space="preserve"> </w:t>
      </w:r>
      <w:r>
        <w:rPr>
          <w:bCs/>
          <w:b/>
        </w:rPr>
        <w:t xml:space="preserve">actualizado al 22 de octubre de 2026</w:t>
      </w:r>
      <w:r>
        <w:t xml:space="preserve"> </w:t>
      </w:r>
      <w:r>
        <w:t xml:space="preserve">(Anexo 3), la Entidad ya formalizó el acuerdo de</w:t>
      </w:r>
      <w:r>
        <w:t xml:space="preserve"> </w:t>
      </w:r>
      <w:r>
        <w:rPr>
          <w:bCs/>
          <w:b/>
        </w:rPr>
        <w:t xml:space="preserve">veinticuatro (24) representantes de marca</w:t>
      </w:r>
      <w:r>
        <w:t xml:space="preserve"> </w:t>
      </w:r>
      <w:r>
        <w:t xml:space="preserve">del Catálogo Electrónico de</w:t>
      </w:r>
      <w:r>
        <w:t xml:space="preserve"> </w:t>
      </w:r>
      <w:r>
        <w:rPr>
          <w:bCs/>
          <w:b/>
        </w:rPr>
        <w:t xml:space="preserve">Mobiliario en General (EXT-CE-2025-11)</w:t>
      </w:r>
      <w:r>
        <w:t xml:space="preserve">, en las</w:t>
      </w:r>
      <w:r>
        <w:t xml:space="preserve"> </w:t>
      </w:r>
      <w:r>
        <w:rPr>
          <w:bCs/>
          <w:b/>
        </w:rPr>
        <w:t xml:space="preserve">mismas categorías</w:t>
      </w:r>
      <w:r>
        <w:t xml:space="preserve"> </w:t>
      </w:r>
      <w:r>
        <w:t xml:space="preserve">de nuestra acreditación, incluidas marcas competidoras como</w:t>
      </w:r>
      <w:r>
        <w:t xml:space="preserve"> </w:t>
      </w:r>
      <w:r>
        <w:rPr>
          <w:bCs/>
          <w:b/>
        </w:rPr>
        <w:t xml:space="preserve">MOBISEAT</w:t>
      </w:r>
      <w:r>
        <w:t xml:space="preserve"> </w:t>
      </w:r>
      <w:r>
        <w:t xml:space="preserve">y</w:t>
      </w:r>
      <w:r>
        <w:t xml:space="preserve"> </w:t>
      </w:r>
      <w:r>
        <w:rPr>
          <w:bCs/>
          <w:b/>
        </w:rPr>
        <w:t xml:space="preserve">EC ERGOCORP</w:t>
      </w:r>
      <w:r>
        <w:t xml:space="preserve">.</w:t>
      </w:r>
      <w:r>
        <w:t xml:space="preserve"> </w:t>
      </w:r>
      <w:r>
        <w:rPr>
          <w:bCs/>
          <w:b/>
        </w:rPr>
        <w:t xml:space="preserve">SERVICIOS BARTEK E.I.R.L. no figura</w:t>
      </w:r>
      <w:r>
        <w:t xml:space="preserve">, pese a haber cumplido el mismo plazo. Esto vulnera el principio de</w:t>
      </w:r>
      <w:r>
        <w:t xml:space="preserve"> </w:t>
      </w:r>
      <w:r>
        <w:rPr>
          <w:bCs/>
          <w:b/>
        </w:rPr>
        <w:t xml:space="preserve">igualdad de trato</w:t>
      </w:r>
      <w:r>
        <w:t xml:space="preserve">: mientras nuestro trámite está paralizado, los proveedores ofertan las marcas de la competencia y no la nuestra.</w:t>
      </w:r>
    </w:p>
    <w:bookmarkEnd w:id="21"/>
    <w:bookmarkStart w:id="37" w:name="petitorio"/>
    <w:p>
      <w:pPr>
        <w:pStyle w:val="Heading2"/>
      </w:pPr>
      <w:r>
        <w:t xml:space="preserve">3. PETITORIO</w:t>
      </w:r>
    </w:p>
    <w:p>
      <w:pPr>
        <w:pStyle w:val="FirstParagraph"/>
        <w:jc w:val="both"/>
      </w:pPr>
      <w:r>
        <w:t xml:space="preserve">Solicitamos a su Jefatura que, conforme al</w:t>
      </w:r>
      <w:r>
        <w:t xml:space="preserve"> </w:t>
      </w:r>
      <w:r>
        <w:rPr>
          <w:bCs/>
          <w:b/>
        </w:rPr>
        <w:t xml:space="preserve">artículo 169.2 del TUO de la Ley N.° 27444</w:t>
      </w:r>
      <w:r>
        <w:t xml:space="preserve">, resuelva esta queja</w:t>
      </w:r>
      <w:r>
        <w:t xml:space="preserve"> </w:t>
      </w:r>
      <w:r>
        <w:rPr>
          <w:bCs/>
          <w:b/>
        </w:rPr>
        <w:t xml:space="preserve">dentro de los tres (3) días hábiles</w:t>
      </w:r>
      <w:r>
        <w:t xml:space="preserve"> </w:t>
      </w:r>
      <w:r>
        <w:t xml:space="preserve">siguientes y:</w:t>
      </w:r>
    </w:p>
    <w:p>
      <w:pPr>
        <w:numPr>
          <w:ilvl w:val="0"/>
          <w:numId w:val="1003"/>
        </w:numPr>
        <w:pStyle w:val="Compact"/>
      </w:pPr>
      <w:r>
        <w:rPr>
          <w:bCs/>
          <w:b/>
        </w:rPr>
        <w:t xml:space="preserve">Declare FUNDADA</w:t>
      </w:r>
      <w:r>
        <w:t xml:space="preserve"> </w:t>
      </w:r>
      <w:r>
        <w:t xml:space="preserve">la queja.</w:t>
      </w:r>
    </w:p>
    <w:p>
      <w:pPr>
        <w:numPr>
          <w:ilvl w:val="0"/>
          <w:numId w:val="1003"/>
        </w:numPr>
        <w:pStyle w:val="Compact"/>
        <w:jc w:val="both"/>
      </w:pPr>
      <w:r>
        <w:rPr>
          <w:bCs/>
          <w:b/>
        </w:rPr>
        <w:t xml:space="preserve">Ordene a la DCEME formalizar de inmediato</w:t>
      </w:r>
      <w:r>
        <w:t xml:space="preserve"> </w:t>
      </w:r>
      <w:r>
        <w:t xml:space="preserve">el Acuerdo de Adhesión de SERVICIOS BARTEK E.I.R.L., otorgando la autorización que le corresponda a su Jefatura.</w:t>
      </w:r>
    </w:p>
    <w:p>
      <w:pPr>
        <w:numPr>
          <w:ilvl w:val="0"/>
          <w:numId w:val="1003"/>
        </w:numPr>
        <w:pStyle w:val="Compact"/>
        <w:jc w:val="both"/>
      </w:pPr>
      <w:r>
        <w:rPr>
          <w:bCs/>
          <w:b/>
        </w:rPr>
        <w:t xml:space="preserve">Ordene habilitar</w:t>
      </w:r>
      <w:r>
        <w:t xml:space="preserve"> </w:t>
      </w:r>
      <w:r>
        <w:t xml:space="preserve">nuestras</w:t>
      </w:r>
      <w:r>
        <w:t xml:space="preserve"> </w:t>
      </w:r>
      <w:r>
        <w:rPr>
          <w:bCs/>
          <w:b/>
        </w:rPr>
        <w:t xml:space="preserve">22 Fichas-Producto MOBIS</w:t>
      </w:r>
      <w:r>
        <w:t xml:space="preserve"> </w:t>
      </w:r>
      <w:r>
        <w:t xml:space="preserve">para la presentación de ofertas, y</w:t>
      </w:r>
      <w:r>
        <w:t xml:space="preserve"> </w:t>
      </w:r>
      <w:r>
        <w:rPr>
          <w:bCs/>
          <w:b/>
        </w:rPr>
        <w:t xml:space="preserve">permitir de inmediato la subsanación</w:t>
      </w:r>
      <w:r>
        <w:t xml:space="preserve"> </w:t>
      </w:r>
      <w:r>
        <w:t xml:space="preserve">de las</w:t>
      </w:r>
      <w:r>
        <w:t xml:space="preserve"> </w:t>
      </w:r>
      <w:r>
        <w:rPr>
          <w:bCs/>
          <w:b/>
        </w:rPr>
        <w:t xml:space="preserve">3 fichas SQP-MIKROVAL</w:t>
      </w:r>
      <w:r>
        <w:t xml:space="preserve">, sin esperar al siguiente periodo del cronograma.</w:t>
      </w:r>
    </w:p>
    <w:p>
      <w:pPr>
        <w:numPr>
          <w:ilvl w:val="0"/>
          <w:numId w:val="1003"/>
        </w:numPr>
        <w:pStyle w:val="Compact"/>
        <w:jc w:val="both"/>
      </w:pPr>
      <w:r>
        <w:rPr>
          <w:bCs/>
          <w:b/>
        </w:rPr>
        <w:t xml:space="preserve">Disponga un periodo extraordinario</w:t>
      </w:r>
      <w:r>
        <w:t xml:space="preserve"> </w:t>
      </w:r>
      <w:r>
        <w:t xml:space="preserve">de presentación de ofertas para nuestras fichas, por los periodos perdidos.</w:t>
      </w:r>
    </w:p>
    <w:p>
      <w:pPr>
        <w:numPr>
          <w:ilvl w:val="0"/>
          <w:numId w:val="1003"/>
        </w:numPr>
        <w:pStyle w:val="Compact"/>
        <w:jc w:val="both"/>
      </w:pPr>
      <w:r>
        <w:rPr>
          <w:bCs/>
          <w:b/>
        </w:rPr>
        <w:t xml:space="preserve">Disponga el deslinde de responsabilidades</w:t>
      </w:r>
      <w:r>
        <w:t xml:space="preserve"> </w:t>
      </w:r>
      <w:r>
        <w:t xml:space="preserve">de los servidores a cargo del trámite, conforme al</w:t>
      </w:r>
      <w:r>
        <w:t xml:space="preserve"> </w:t>
      </w:r>
      <w:r>
        <w:rPr>
          <w:bCs/>
          <w:b/>
        </w:rPr>
        <w:t xml:space="preserve">artículo 261 del TUO de la Ley N.° 27444</w:t>
      </w:r>
      <w:r>
        <w:t xml:space="preserve">, remitiendo lo actuado a la Secretaría Técnica de los Procedimientos Administrativos Disciplinarios.</w:t>
      </w:r>
    </w:p>
    <w:p>
      <w:pPr>
        <w:numPr>
          <w:ilvl w:val="0"/>
          <w:numId w:val="1003"/>
        </w:numPr>
        <w:pStyle w:val="Compact"/>
        <w:jc w:val="both"/>
      </w:pPr>
      <w:r>
        <w:rPr>
          <w:bCs/>
          <w:b/>
        </w:rPr>
        <w:t xml:space="preserve">Ordene responder por escrito</w:t>
      </w:r>
      <w:r>
        <w:t xml:space="preserve"> </w:t>
      </w:r>
      <w:r>
        <w:t xml:space="preserve">nuestra Carta N.° 16102026-1, informando</w:t>
      </w:r>
      <w:r>
        <w:t xml:space="preserve"> </w:t>
      </w:r>
      <w:r>
        <w:rPr>
          <w:bCs/>
          <w:b/>
        </w:rPr>
        <w:t xml:space="preserve">qué criterio u orden</w:t>
      </w:r>
      <w:r>
        <w:t xml:space="preserve"> </w:t>
      </w:r>
      <w:r>
        <w:t xml:space="preserve">se ha seguido para formalizar los Acuerdos de Adhesión y</w:t>
      </w:r>
      <w:r>
        <w:t xml:space="preserve"> </w:t>
      </w:r>
      <w:r>
        <w:rPr>
          <w:bCs/>
          <w:b/>
        </w:rPr>
        <w:t xml:space="preserve">por qué el nuestro no ha sido formalizado</w:t>
      </w:r>
      <w:r>
        <w:t xml:space="preserve">, cuando sí lo fue el de otros representantes de marca del mismo catálogo.</w:t>
      </w:r>
    </w:p>
    <w:p>
      <w:pPr>
        <w:pStyle w:val="FirstParagraph"/>
        <w:jc w:val="both"/>
      </w:pPr>
      <w:r>
        <w:t xml:space="preserve">Pondremos esta queja en conocimiento del</w:t>
      </w:r>
      <w:r>
        <w:t xml:space="preserve"> </w:t>
      </w:r>
      <w:r>
        <w:rPr>
          <w:bCs/>
          <w:b/>
        </w:rPr>
        <w:t xml:space="preserve">Órgano de Control Institucional de PERÚ COMPRAS</w:t>
      </w:r>
      <w:r>
        <w:t xml:space="preserve"> </w:t>
      </w:r>
      <w:r>
        <w:t xml:space="preserve">y de la</w:t>
      </w:r>
      <w:r>
        <w:t xml:space="preserve"> </w:t>
      </w:r>
      <w:r>
        <w:rPr>
          <w:bCs/>
          <w:b/>
        </w:rPr>
        <w:t xml:space="preserve">Defensoría del Pueblo</w:t>
      </w:r>
      <w:r>
        <w:t xml:space="preserve">, y nos reservamos el derecho de reclamar los</w:t>
      </w:r>
      <w:r>
        <w:t xml:space="preserve"> </w:t>
      </w:r>
      <w:r>
        <w:rPr>
          <w:bCs/>
          <w:b/>
        </w:rPr>
        <w:t xml:space="preserve">daños y perjuicios</w:t>
      </w:r>
      <w:r>
        <w:t xml:space="preserve"> </w:t>
      </w:r>
      <w:r>
        <w:t xml:space="preserve">ocasionados (artículo 260 del TUO de la Ley N.° 27444).</w:t>
      </w:r>
    </w:p>
    <w:p>
      <w:pPr>
        <w:pStyle w:val="BodyText"/>
      </w:pPr>
      <w:r>
        <w:t xml:space="preserve">Atentamente,</w:t>
      </w:r>
    </w:p>
    <w:p>
      <w:pPr>
        <w:pStyle w:val="BodyText"/>
      </w:pPr>
      <w:r>
        <w:drawing>
          <wp:inline>
            <wp:extent cx="1979999" cy="884849"/>
            <wp:effectExtent b="0" l="0" r="0" t="0"/>
            <wp:docPr descr="" title="" id="23" name="Picture"/>
            <a:graphic>
              <a:graphicData uri="http://schemas.openxmlformats.org/drawingml/2006/picture">
                <pic:pic>
                  <pic:nvPicPr>
                    <pic:cNvPr descr="anexos/firma_faviola.png" id="24" name="Picture"/>
                    <pic:cNvPicPr>
                      <a:picLocks noChangeArrowheads="1" noChangeAspect="1"/>
                    </pic:cNvPicPr>
                  </pic:nvPicPr>
                  <pic:blipFill>
                    <a:blip r:embed="rId2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79999" cy="88484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rPr>
          <w:bCs/>
          <w:b/>
        </w:rPr>
        <w:t xml:space="preserve">SERVICIOS BARTEK E.I.R.L.</w:t>
      </w:r>
      <w:r>
        <w:t xml:space="preserve"> </w:t>
      </w:r>
      <w:r>
        <w:t xml:space="preserve">– RUC N.° 20610900551</w:t>
      </w:r>
      <w:r>
        <w:br/>
      </w:r>
      <w:r>
        <w:t xml:space="preserve">Gerente: Faviola Matilde Orihuela Pimentel</w:t>
      </w:r>
      <w:r>
        <w:br/>
      </w:r>
      <w:r>
        <w:t xml:space="preserve">Correo: serviciosbartek@gmail.com</w:t>
      </w:r>
    </w:p>
    <w:p>
      <w:pPr>
        <w:pStyle w:val="BodyText"/>
      </w:pPr>
      <w:r>
        <w:rPr>
          <w:bCs/>
          <w:b/>
        </w:rPr>
        <w:t xml:space="preserve">ANEXOS:</w:t>
      </w:r>
    </w:p>
    <w:p>
      <w:pPr>
        <w:numPr>
          <w:ilvl w:val="0"/>
          <w:numId w:val="1004"/>
        </w:numPr>
        <w:pStyle w:val="Compact"/>
      </w:pPr>
      <w:r>
        <w:rPr>
          <w:bCs/>
          <w:b/>
        </w:rPr>
        <w:t xml:space="preserve">Anexo 1:</w:t>
      </w:r>
      <w:r>
        <w:t xml:space="preserve"> </w:t>
      </w:r>
      <w:r>
        <w:t xml:space="preserve">Correo de la DCEME del 16 de octubre de 2026.</w:t>
      </w:r>
    </w:p>
    <w:p>
      <w:pPr>
        <w:numPr>
          <w:ilvl w:val="0"/>
          <w:numId w:val="1004"/>
        </w:numPr>
        <w:pStyle w:val="Compact"/>
        <w:jc w:val="both"/>
      </w:pPr>
      <w:r>
        <w:rPr>
          <w:bCs/>
          <w:b/>
        </w:rPr>
        <w:t xml:space="preserve">Anexo 2:</w:t>
      </w:r>
      <w:r>
        <w:t xml:space="preserve"> </w:t>
      </w:r>
      <w:r>
        <w:t xml:space="preserve">Observaciones del 29/09/2026 a las fichas SQP-MIKROVAL N.° 2007274, 2298513 y 2298514.</w:t>
      </w:r>
    </w:p>
    <w:p>
      <w:pPr>
        <w:numPr>
          <w:ilvl w:val="0"/>
          <w:numId w:val="1004"/>
        </w:numPr>
        <w:pStyle w:val="Compact"/>
        <w:jc w:val="both"/>
      </w:pPr>
      <w:r>
        <w:rPr>
          <w:bCs/>
          <w:b/>
        </w:rPr>
        <w:t xml:space="preserve">Anexo 3:</w:t>
      </w:r>
      <w:r>
        <w:t xml:space="preserve"> </w:t>
      </w:r>
      <w:r>
        <w:t xml:space="preserve">Listado oficial de Representantes de Marca con Acuerdo de Adhesión – Mobiliario en General (al 22/10/2026).</w:t>
      </w:r>
    </w:p>
    <w:p>
      <w:pPr>
        <w:numPr>
          <w:ilvl w:val="0"/>
          <w:numId w:val="1004"/>
        </w:numPr>
        <w:pStyle w:val="Compact"/>
      </w:pPr>
      <w:r>
        <w:rPr>
          <w:bCs/>
          <w:b/>
        </w:rPr>
        <w:t xml:space="preserve">Anexo 4:</w:t>
      </w:r>
      <w:r>
        <w:t xml:space="preserve"> </w:t>
      </w:r>
      <w:r>
        <w:t xml:space="preserve">Carta N.° 16102026-1-SERVICIOS BARTEK E.I.R.L., con sus anexos.</w:t>
      </w:r>
    </w:p>
    <w:p>
      <w:r>
        <w:br w:type="page"/>
      </w:r>
    </w:p>
    <w:p>
      <w:pPr>
        <w:pStyle w:val="FirstParagraph"/>
      </w:pPr>
      <w:r>
        <w:rPr>
          <w:bCs/>
          <w:b/>
        </w:rPr>
        <w:t xml:space="preserve">ANEXO 1 – Correo de la DCEME del 16 de octubre de 2026</w:t>
      </w:r>
    </w:p>
    <w:p>
      <w:pPr>
        <w:pStyle w:val="BodyText"/>
      </w:pPr>
      <w:r>
        <w:drawing>
          <wp:inline>
            <wp:extent cx="5334000" cy="2552260"/>
            <wp:effectExtent b="0" l="0" r="0" t="0"/>
            <wp:docPr descr="" title="" id="26" name="Picture"/>
            <a:graphic>
              <a:graphicData uri="http://schemas.openxmlformats.org/drawingml/2006/picture">
                <pic:pic>
                  <pic:nvPicPr>
                    <pic:cNvPr descr="anexos_queja/correo_dceme_16102026.png" id="27" name="Picture"/>
                    <pic:cNvPicPr>
                      <a:picLocks noChangeArrowheads="1" noChangeAspect="1"/>
                    </pic:cNvPicPr>
                  </pic:nvPicPr>
                  <pic:blipFill>
                    <a:blip r:embed="rId2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55226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rPr>
          <w:bCs/>
          <w:b/>
        </w:rPr>
        <w:t xml:space="preserve">ANEXO 2 – Observaciones a las fichas SQP-MIKROVAL (29/09/2026)</w:t>
      </w:r>
    </w:p>
    <w:p>
      <w:pPr>
        <w:pStyle w:val="BodyText"/>
      </w:pPr>
      <w:r>
        <w:drawing>
          <wp:inline>
            <wp:extent cx="1943999" cy="1660044"/>
            <wp:effectExtent b="0" l="0" r="0" t="0"/>
            <wp:docPr descr="" title="" id="29" name="Picture"/>
            <a:graphic>
              <a:graphicData uri="http://schemas.openxmlformats.org/drawingml/2006/picture">
                <pic:pic>
                  <pic:nvPicPr>
                    <pic:cNvPr descr="anexos_queja/sqp_2007274.png" id="30" name="Picture"/>
                    <pic:cNvPicPr>
                      <a:picLocks noChangeArrowheads="1" noChangeAspect="1"/>
                    </pic:cNvPicPr>
                  </pic:nvPicPr>
                  <pic:blipFill>
                    <a:blip r:embed="rId2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43999" cy="166004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t xml:space="preserve"> </w:t>
      </w:r>
      <w:r>
        <w:drawing>
          <wp:inline>
            <wp:extent cx="1943999" cy="1735047"/>
            <wp:effectExtent b="0" l="0" r="0" t="0"/>
            <wp:docPr descr="" title="" id="32" name="Picture"/>
            <a:graphic>
              <a:graphicData uri="http://schemas.openxmlformats.org/drawingml/2006/picture">
                <pic:pic>
                  <pic:nvPicPr>
                    <pic:cNvPr descr="anexos_queja/sqp_2298513.png" id="33" name="Picture"/>
                    <pic:cNvPicPr>
                      <a:picLocks noChangeArrowheads="1" noChangeAspect="1"/>
                    </pic:cNvPicPr>
                  </pic:nvPicPr>
                  <pic:blipFill>
                    <a:blip r:embed="rId3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43999" cy="1735047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t xml:space="preserve"> </w:t>
      </w:r>
      <w:r>
        <w:drawing>
          <wp:inline>
            <wp:extent cx="1943999" cy="1715727"/>
            <wp:effectExtent b="0" l="0" r="0" t="0"/>
            <wp:docPr descr="" title="" id="35" name="Picture"/>
            <a:graphic>
              <a:graphicData uri="http://schemas.openxmlformats.org/drawingml/2006/picture">
                <pic:pic>
                  <pic:nvPicPr>
                    <pic:cNvPr descr="anexos_queja/sqp_2298514.png" id="36" name="Picture"/>
                    <pic:cNvPicPr>
                      <a:picLocks noChangeArrowheads="1" noChangeAspect="1"/>
                    </pic:cNvPicPr>
                  </pic:nvPicPr>
                  <pic:blipFill>
                    <a:blip r:embed="rId3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43999" cy="1715727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pStyle w:val="BodyText"/>
        <w:jc w:val="both"/>
      </w:pPr>
      <w:r>
        <w:rPr>
          <w:bCs/>
          <w:b/>
        </w:rPr>
        <w:t xml:space="preserve">ANEXO 3 – Listado oficial de Representantes de Marca con Acuerdo de Adhesión – Mobiliario en General (EXT-CE-2025-11), actualizado al 22/10/2026</w:t>
      </w:r>
    </w:p>
    <w:p>
      <w:pPr>
        <w:pStyle w:val="BodyText"/>
        <w:jc w:val="both"/>
      </w:pPr>
      <w:r>
        <w:t xml:space="preserve">Fuente: PERÚ COMPRAS, central.perucompras.gob.pe/acuerdos-marco/representante-marca-acuerdo-adhesion.php (122 registros, resumidos por representante de marca).</w:t>
      </w:r>
      <w:r>
        <w:t xml:space="preserve"> </w:t>
      </w:r>
      <w:r>
        <w:rPr>
          <w:bCs/>
          <w:b/>
        </w:rPr>
        <w:t xml:space="preserve">SERVICIOS BARTEK E.I.R.L. (RUC 20610900551) no figura.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424"/>
        <w:gridCol w:w="1272"/>
        <w:gridCol w:w="3394"/>
        <w:gridCol w:w="2828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N.°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RUC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Representante de marca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Marca(s)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20609433249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BLUE INTERNATIONAL LOGISTICS E.I.R.L.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ERGOREDA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20611697849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ERGONOMIC PERU M &amp; G S.A.C.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M&amp;G ERGONOMIC PERÚ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20518903960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IMAX INT’L S.A.C.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ZIYAZ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10435658364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MOLLO QUISPECONDORI SERGIO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PITUMARCA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20612600156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ROSAS CANCHA SAC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LAUCHUNG SILLAS DE OFICINA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20613147901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INVERSIONES ALYMAR E.I.R.L.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ERGOOFI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10477007843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JULCA CONDOR SHAROL OSVALDA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MANUSHA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10448991968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ZEVALLOS LUNA ARTURO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ZJ ZEJIM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20269863626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FORMAT GROUP S.A.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OFFICE SPACE, FURSYS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20547892039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TIZIANNI PERU SOCIEDAD ANONIMA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TIZIANNI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20605711619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ERGOUNO S.A.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ERGOUNO SILLAS DE OFICINA Y HOGAR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20611719818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INVERSIONES ERGOCORP S.A.C.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EC ERGOCORP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20613791222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BUSNESSI PERU E.I.R.L.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BUSNESSI SILLAS Y MUEBLES ERGONÓMICOS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20553342181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MACRO UTILES MERCANTIL E.I.R.L.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DA DESING ART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20600346289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ARCHITEC S.A.C.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MOBISEAT</w:t>
            </w:r>
            <w:r>
              <w:t xml:space="preserve">, NOVALUXE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20608661701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DICSA PERU E &amp; C S.R.L.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ErgoRelax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20613870319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EKOMOBA E.I.R.L.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ECOFAST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10733213979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TANANTA HUAMAN ANDY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BLACKGER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10737087331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NEGRON RIVA DHALIN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NL NEGRON LOGISTIC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20544434391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SERVIMUEBLES CAMIL S.R.L.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 &amp; P, KUSISILLAS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20610494715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MEDIAKRON E.I.R.L.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 MOBILUX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20611553570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HERSA DEL PERU E.I.R.L.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Hersa del Peru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20612676977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IMPORTACION ASIA AMERICA S.A.C.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BLUE CHAIR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20606732288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MULTISERVICIOS ALESSIA E.I.R.L.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ALLU</w:t>
            </w:r>
          </w:p>
        </w:tc>
      </w:tr>
    </w:tbl>
    <w:bookmarkEnd w:id="37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721">
    <w:nsid w:val="A99721"/>
    <w:multiLevelType w:val="multilevel"/>
    <w:lvl w:ilvl="0">
      <w:start w:val="1"/>
      <w:numFmt w:val="lowerLetter"/>
      <w:lvlText w:val="%1)"/>
      <w:lvlJc w:val="left"/>
      <w:pPr>
        <w:ind w:left="720" w:hanging="480"/>
      </w:pPr>
    </w:lvl>
    <w:lvl w:ilvl="1">
      <w:start w:val="1"/>
      <w:numFmt w:val="lowerLetter"/>
      <w:lvlText w:val="%2)"/>
      <w:lvlJc w:val="left"/>
      <w:pPr>
        <w:ind w:left="1440" w:hanging="480"/>
      </w:pPr>
    </w:lvl>
    <w:lvl w:ilvl="2">
      <w:start w:val="1"/>
      <w:numFmt w:val="lowerLetter"/>
      <w:lvlText w:val="%3)"/>
      <w:lvlJc w:val="left"/>
      <w:pPr>
        <w:ind w:left="2160" w:hanging="480"/>
      </w:pPr>
    </w:lvl>
    <w:lvl w:ilvl="3">
      <w:start w:val="1"/>
      <w:numFmt w:val="lowerLetter"/>
      <w:lvlText w:val="%4)"/>
      <w:lvlJc w:val="left"/>
      <w:pPr>
        <w:ind w:left="2880" w:hanging="480"/>
      </w:pPr>
    </w:lvl>
    <w:lvl w:ilvl="4">
      <w:start w:val="1"/>
      <w:numFmt w:val="lowerLetter"/>
      <w:lvlText w:val="%5)"/>
      <w:lvlJc w:val="left"/>
      <w:pPr>
        <w:ind w:left="3600" w:hanging="480"/>
      </w:pPr>
    </w:lvl>
    <w:lvl w:ilvl="5">
      <w:start w:val="1"/>
      <w:numFmt w:val="lowerLetter"/>
      <w:lvlText w:val="%6)"/>
      <w:lvlJc w:val="left"/>
      <w:pPr>
        <w:ind w:left="4320" w:hanging="480"/>
      </w:pPr>
    </w:lvl>
    <w:lvl w:ilvl="6">
      <w:start w:val="1"/>
      <w:numFmt w:val="lowerLetter"/>
      <w:lvlText w:val="%7)"/>
      <w:lvlJc w:val="left"/>
      <w:pPr>
        <w:ind w:left="5040" w:hanging="480"/>
      </w:pPr>
    </w:lvl>
    <w:lvl w:ilvl="7">
      <w:start w:val="1"/>
      <w:numFmt w:val="lowerLetter"/>
      <w:lvlText w:val="%8)"/>
      <w:lvlJc w:val="left"/>
      <w:pPr>
        <w:ind w:left="5760" w:hanging="480"/>
      </w:pPr>
    </w:lvl>
    <w:lvl w:ilvl="8">
      <w:start w:val="1"/>
      <w:numFmt w:val="lowerLetter"/>
      <w:lvlText w:val="%9)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abstractNum w:abstractNumId="99411">
    <w:nsid w:val="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num w:numId="1000">
    <w:abstractNumId w:val="990"/>
  </w:num>
  <w:num w:numId="1001">
    <w:abstractNumId w:val="9972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numbering" Target="numbering.xml"/><Relationship Id="rId2" Type="http://schemas.openxmlformats.org/officeDocument/2006/relationships/styles" Target="styles.xml"/><Relationship Id="rId3" Type="http://schemas.openxmlformats.org/officeDocument/2006/relationships/settings" Target="settings.xml"/><Relationship Id="rId4" Type="http://schemas.openxmlformats.org/officeDocument/2006/relationships/webSettings" Target="webSettings.xml"/><Relationship Id="rId5" Type="http://schemas.openxmlformats.org/officeDocument/2006/relationships/fontTable" Target="fontTable.xml"/><Relationship Id="rId6" Type="http://schemas.openxmlformats.org/officeDocument/2006/relationships/theme" Target="theme/theme1.xml"/><Relationship Id="rId7" Type="http://schemas.openxmlformats.org/officeDocument/2006/relationships/footnotes" Target="footnotes.xml"/><Relationship Id="rId8" Type="http://schemas.openxmlformats.org/officeDocument/2006/relationships/comments" Target="comments.xml"/><Relationship Id="rId22" Type="http://schemas.openxmlformats.org/officeDocument/2006/relationships/image" Target="media/rId22.png"/><Relationship Id="rId25" Type="http://schemas.openxmlformats.org/officeDocument/2006/relationships/image" Target="media/rId25.png"/><Relationship Id="rId28" Type="http://schemas.openxmlformats.org/officeDocument/2006/relationships/image" Target="media/rId28.png"/><Relationship Id="rId31" Type="http://schemas.openxmlformats.org/officeDocument/2006/relationships/image" Target="media/rId31.png"/><Relationship Id="rId34" Type="http://schemas.openxmlformats.org/officeDocument/2006/relationships/image" Target="media/rId3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2026-10-26T14:35:45Z</dcterms:created>
  <dcterms:modified xsi:type="dcterms:W3CDTF">2026-10-26T14:35:45Z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