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3).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2025, así como de las marcas</w:t>
      </w:r>
      <w:r>
        <w:t xml:space="preserve"> </w:t>
      </w:r>
      <w:r>
        <w:rPr>
          <w:bCs/>
          <w:b/>
        </w:rPr>
        <w:t xml:space="preserve">DELISOYA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SRB</w:t>
      </w:r>
      <w:r>
        <w:t xml:space="preserve">. El Acuerdo de Adhesión es</w:t>
      </w:r>
      <w:r>
        <w:t xml:space="preserve"> </w:t>
      </w:r>
      <w:r>
        <w:rPr>
          <w:bCs/>
          <w:b/>
        </w:rPr>
        <w:t xml:space="preserve">uno solo</w:t>
      </w:r>
      <w:r>
        <w:t xml:space="preserve"> </w:t>
      </w:r>
      <w:r>
        <w:t xml:space="preserve">y lo suscribe SERVICIOS BARTEK E.I.R.L. como representante de marca,</w:t>
      </w:r>
      <w:r>
        <w:t xml:space="preserve"> </w:t>
      </w:r>
      <w:r>
        <w:rPr>
          <w:bCs/>
          <w:b/>
        </w:rPr>
        <w:t xml:space="preserve">no cada marca por separado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3),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2.6. Hay un trato distinto sin justificación.</w:t>
      </w:r>
      <w:r>
        <w:t xml:space="preserve"> </w:t>
      </w:r>
      <w:r>
        <w:t xml:space="preserve">Nuestras marcas</w:t>
      </w:r>
      <w:r>
        <w:t xml:space="preserve"> </w:t>
      </w:r>
      <w:r>
        <w:rPr>
          <w:bCs/>
          <w:b/>
        </w:rPr>
        <w:t xml:space="preserve">DELISOYA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SRB</w:t>
      </w:r>
      <w:r>
        <w:t xml:space="preserve"> </w:t>
      </w:r>
      <w:r>
        <w:t xml:space="preserve">dependen del</w:t>
      </w:r>
      <w:r>
        <w:t xml:space="preserve"> </w:t>
      </w:r>
      <w:r>
        <w:rPr>
          <w:bCs/>
          <w:b/>
        </w:rPr>
        <w:t xml:space="preserve">mismo Acuerdo de Adhesión</w:t>
      </w:r>
      <w:r>
        <w:t xml:space="preserve"> </w:t>
      </w:r>
      <w:r>
        <w:t xml:space="preserve">pendiente y, sin embargo,</w:t>
      </w:r>
      <w:r>
        <w:t xml:space="preserve"> </w:t>
      </w:r>
      <w:r>
        <w:rPr>
          <w:bCs/>
          <w:b/>
        </w:rPr>
        <w:t xml:space="preserve">operan con normalidad</w:t>
      </w:r>
      <w:r>
        <w:t xml:space="preserve">. Si la falta de formalización fuera la causa, afectaría por igual a todas nuestras marcas. Que solo MOBIS y SQP-MIKROVAL estén bloqueadas vulnera el principio de</w:t>
      </w:r>
      <w:r>
        <w:t xml:space="preserve"> </w:t>
      </w:r>
      <w:r>
        <w:rPr>
          <w:bCs/>
          <w:b/>
        </w:rPr>
        <w:t xml:space="preserve">igualdad de trato</w:t>
      </w:r>
      <w:r>
        <w:t xml:space="preserve"> </w:t>
      </w:r>
      <w:r>
        <w:t xml:space="preserve">y exige una explicación.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16102026-1, explicando</w:t>
      </w:r>
      <w:r>
        <w:t xml:space="preserve"> </w:t>
      </w:r>
      <w:r>
        <w:rPr>
          <w:bCs/>
          <w:b/>
        </w:rPr>
        <w:t xml:space="preserve">por qué MOBIS y SQP-MIKROVAL reciben un trato distinto</w:t>
      </w:r>
      <w:r>
        <w:t xml:space="preserve"> </w:t>
      </w:r>
      <w:r>
        <w:t xml:space="preserve">al de nuestras marcas DELISOYA y SRB, que dependen del mismo Acuerdo de Adhesión.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Matilde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2026-10-26T13:49:37Z</dcterms:created>
  <dcterms:modified xsi:type="dcterms:W3CDTF">2026-10-26T13:49:37Z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