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5E6" w:rsidRPr="00265300" w:rsidRDefault="003E55E6" w:rsidP="00265300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653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Processo n° 0831392-64.2019.8.14.0301</w:t>
      </w:r>
    </w:p>
    <w:p w:rsidR="003E55E6" w:rsidRPr="003E55E6" w:rsidRDefault="003E55E6" w:rsidP="0026530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E55E6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3E55E6" w:rsidRPr="003E55E6" w:rsidRDefault="003E55E6" w:rsidP="0026530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2653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Vistos etc.</w:t>
      </w:r>
    </w:p>
    <w:p w:rsidR="003E55E6" w:rsidRDefault="003E55E6" w:rsidP="0026530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E55E6">
        <w:rPr>
          <w:rFonts w:ascii="Arial" w:eastAsia="Times New Roman" w:hAnsi="Arial" w:cs="Arial"/>
          <w:sz w:val="24"/>
          <w:szCs w:val="24"/>
          <w:lang w:eastAsia="pt-BR"/>
        </w:rPr>
        <w:t xml:space="preserve">Trata-se de recurso de apelação interposto por </w:t>
      </w:r>
      <w:r w:rsidRPr="0026530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ITAPEVA XI MULTICARTEIRA FUNDO DE INVESTIMENTO EM DIREITOS CREDITÓRIOS NÃO PADRONIZADOS</w:t>
      </w:r>
      <w:r w:rsidRPr="003E55E6">
        <w:rPr>
          <w:rFonts w:ascii="Arial" w:eastAsia="Times New Roman" w:hAnsi="Arial" w:cs="Arial"/>
          <w:sz w:val="24"/>
          <w:szCs w:val="24"/>
          <w:lang w:eastAsia="pt-BR"/>
        </w:rPr>
        <w:t xml:space="preserve"> contra a sentença de ID 169999974 que extinguiu o processo sem resolução do mérito.</w:t>
      </w:r>
    </w:p>
    <w:p w:rsidR="00265300" w:rsidRDefault="00265300" w:rsidP="0026530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300">
        <w:rPr>
          <w:rFonts w:ascii="Arial" w:eastAsia="Times New Roman" w:hAnsi="Arial" w:cs="Arial"/>
          <w:sz w:val="24"/>
          <w:szCs w:val="24"/>
          <w:lang w:eastAsia="pt-BR"/>
        </w:rPr>
        <w:t>Considerando que a sentença recorrida extinguiu o processo sem resolução do mérito por impossibilidade de citação do réu, fica dispensada a intimação da parte apelada para apresentar contrarrazões.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3E55E6" w:rsidRPr="003E55E6" w:rsidRDefault="00265300" w:rsidP="0026530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Desta maneira, d</w:t>
      </w:r>
      <w:r w:rsidR="003E55E6" w:rsidRPr="003E55E6">
        <w:rPr>
          <w:rFonts w:ascii="Arial" w:eastAsia="Times New Roman" w:hAnsi="Arial" w:cs="Arial"/>
          <w:sz w:val="24"/>
          <w:szCs w:val="24"/>
          <w:lang w:eastAsia="pt-BR"/>
        </w:rPr>
        <w:t>etermino a remessa dos autos ao Egrégio Tribunal de Justiça do Estado do Pará, nos termos do art. 1.010, § 3°, do Código de Processo Civil.</w:t>
      </w:r>
    </w:p>
    <w:bookmarkEnd w:id="0"/>
    <w:p w:rsidR="00F2350D" w:rsidRPr="00265300" w:rsidRDefault="00F2350D" w:rsidP="00265300">
      <w:pPr>
        <w:jc w:val="both"/>
        <w:rPr>
          <w:rFonts w:ascii="Arial" w:hAnsi="Arial" w:cs="Arial"/>
        </w:rPr>
      </w:pPr>
    </w:p>
    <w:sectPr w:rsidR="00F2350D" w:rsidRPr="00265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5E6"/>
    <w:rsid w:val="00265300"/>
    <w:rsid w:val="003E55E6"/>
    <w:rsid w:val="00B775B4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7F3E2"/>
  <w15:chartTrackingRefBased/>
  <w15:docId w15:val="{B5941AC8-12D4-4FA0-B797-F414DE6B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E5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55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E5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E5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98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2026-06-30T21:17:00Z</dcterms:created>
  <dcterms:modified xsi:type="dcterms:W3CDTF">2026-07-01T23:53:00Z</dcterms:modified>
</cp:coreProperties>
</file>