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5A3" w:rsidRPr="000D45A3" w:rsidRDefault="000D45A3" w:rsidP="000D45A3">
      <w:pPr>
        <w:spacing w:after="5" w:line="276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0849747-20.2022.8.14.0301</w:t>
      </w:r>
    </w:p>
    <w:p w:rsidR="000D45A3" w:rsidRDefault="000D45A3" w:rsidP="000D45A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0D45A3" w:rsidRPr="000D45A3" w:rsidRDefault="000D45A3" w:rsidP="000D45A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0D45A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0D45A3" w:rsidRPr="000D45A3" w:rsidRDefault="000D45A3" w:rsidP="000D45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proposta originalmente por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Pan S.A.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Thiago da Trindade Torres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(ID 65169431). O contrato que lastreia a inicial é a Cédula de Crédito Bancário nº 090491034 (ID 65171338 - Pág. 6), garantida por alienação fiduciária de um veículo marca Chevrolet, modelo </w:t>
      </w:r>
      <w:proofErr w:type="spellStart"/>
      <w:r w:rsidRPr="000D45A3">
        <w:rPr>
          <w:rFonts w:ascii="Arial" w:eastAsia="Times New Roman" w:hAnsi="Arial" w:cs="Arial"/>
          <w:sz w:val="24"/>
          <w:szCs w:val="24"/>
          <w:lang w:eastAsia="pt-BR"/>
        </w:rPr>
        <w:t>Cobalt</w:t>
      </w:r>
      <w:proofErr w:type="spellEnd"/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1.4 LS, ano 2015, cor branca, placa QDG7E93 (ID 65171338 - Pág. 1). 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A decisão de ID 66515894 deferiu a liminar de busca e apreensão do veículo. No entanto, o Oficial de Justiça certificou a impossibilidade de localização do bem e de citação do réu, informando que o imóvel indicado estava desocupado e ostentava placa de "vende-se" (ID 85034737).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A empresa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Itapeva XI </w:t>
      </w:r>
      <w:proofErr w:type="spellStart"/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Multicarteira</w:t>
      </w:r>
      <w:proofErr w:type="spellEnd"/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Fundo de Investimento em Direitos Creditórios Não-Padronizados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peticionou ao ID 86808014 noticiando a aquisição do crédito fiduciário mediante cessão de direitos, pleiteando sua habilitação no polo ativo. O pedido foi deferido no despacho de ID 103403387.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Na sequência, a parte autora pleiteou a realização de pesquisas de endereço pelos sistemas conveniados (ID 91669692), o que foi deferido condicionado ao recolhimento de custas (ID 103403387). O recolhimento das guias respectivas foi comprovado pela petição de ID 103963001.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Posteriormente, o Juízo de origem proferiu a sentença de ID 141351979, extinguindo o feito, sem resolução de mérito, com base no art. 485, IV, do Código de Processo Civil, sob o fundamento de ausência de citação válida.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Contra essa sentença, a parte autora opôs Embargos de Declaração (ID 142008314), os quais não foram conhecidos pela decisão de ID 146096201, por terem sido julgados intempestivos, conforme certidão de ID 144889385.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Após o julgamento dos </w:t>
      </w:r>
      <w:proofErr w:type="spellStart"/>
      <w:r w:rsidRPr="000D45A3">
        <w:rPr>
          <w:rFonts w:ascii="Arial" w:eastAsia="Times New Roman" w:hAnsi="Arial" w:cs="Arial"/>
          <w:sz w:val="24"/>
          <w:szCs w:val="24"/>
          <w:lang w:eastAsia="pt-BR"/>
        </w:rPr>
        <w:t>aclaratórios</w:t>
      </w:r>
      <w:proofErr w:type="spellEnd"/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, a instituição autora apresentou petição de ID 149164793, requerendo nova substituição processual para que constasse como cessionária dos créditos representados na lide, juntando procuração (ID 149164795). 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A decisão interlocutória de ID 153590691 deferiu a substituição e determinou que, certificado o trânsito em julgado, o processo fosse arquivado.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Nova manifestação foi acostada ao ID 155263598 pela mesma cessionária, juntando novo instrumento de representação ad judicia (ID 155263599). 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Vieram os autos conclusos.</w:t>
      </w:r>
    </w:p>
    <w:p w:rsidR="000D45A3" w:rsidRPr="000D45A3" w:rsidRDefault="000D45A3" w:rsidP="000D45A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O processo encontra-se em fase posterior à prolação de sentença extintiva de mérito (ID 141351979) e de decisão que rejeitou os embargos de declaração outrora opostos (ID 146096201). 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Embora tenham sido protocolizadas petições supervenientes requerendo substituição de representação processual e regularização de representação — devidamente deferidas por este Juízo (ID 153590691) —, constata-se que a 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atividade jurisdicional de primeiro grau sobre a matéria cognitiva encontra-se exaurida.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De fato, nos termos do art. 494 do Código de Processo Civil, ao publicar a sentença de mérito ou terminativa, o juiz cumpre e acaba o ofício jurisdicional, só podendo alterá-la para corrigir inexatidões materiais ou por meio de embargos de declaração. No caso concreto, a sentença extintiva de ID 141351979 foi mantida integralmente pela decisão de ID 146096201, que não conheceu dos embargos de declaração por intempestividade.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Não houve interposição de recurso de apelação por nenhuma das partes. O prazo recursal decorreu sem manifestação apta a reformar o provimento terminativo, operando-se a preclusão temporal e o consequente trânsito em julgado da referida sentença.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Por conseguinte, resta pendente unicamente o cumprimento da determinação contida na decisão de ID 153590691, qual seja, a certificação formal do trânsito em julgado pela Secretaria e o arquivamento definitivo do processo.</w:t>
      </w:r>
    </w:p>
    <w:p w:rsidR="000D45A3" w:rsidRPr="000D45A3" w:rsidRDefault="000D45A3" w:rsidP="000D45A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Ante o exposto, considerando o exaurimento da prestação jurisdicional em primeiro grau e a ausência de recursos pendentes:</w:t>
      </w:r>
    </w:p>
    <w:p w:rsidR="000D45A3" w:rsidRPr="000D45A3" w:rsidRDefault="000D45A3" w:rsidP="000D45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à Secretaria que proceda à imediata certificação do trânsito em julgado da sentença de ID 141351979;</w:t>
      </w:r>
    </w:p>
    <w:p w:rsidR="000D45A3" w:rsidRPr="000D45A3" w:rsidRDefault="000D45A3" w:rsidP="000D45A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0D45A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0D45A3">
        <w:rPr>
          <w:rFonts w:ascii="Arial" w:eastAsia="Times New Roman" w:hAnsi="Arial" w:cs="Arial"/>
          <w:sz w:val="24"/>
          <w:szCs w:val="24"/>
          <w:lang w:eastAsia="pt-BR"/>
        </w:rPr>
        <w:t xml:space="preserve"> o arquivamento definitivo dos presentes autos, com as devidas baixas de estilo no Sistema de Processo Judicial Eletrônico (</w:t>
      </w:r>
      <w:proofErr w:type="spellStart"/>
      <w:r w:rsidRPr="000D45A3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0D45A3">
        <w:rPr>
          <w:rFonts w:ascii="Arial" w:eastAsia="Times New Roman" w:hAnsi="Arial" w:cs="Arial"/>
          <w:sz w:val="24"/>
          <w:szCs w:val="24"/>
          <w:lang w:eastAsia="pt-BR"/>
        </w:rPr>
        <w:t>), observadas as formalidades legais.</w:t>
      </w:r>
    </w:p>
    <w:p w:rsidR="000D45A3" w:rsidRPr="000D45A3" w:rsidRDefault="000D45A3" w:rsidP="00E548B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D45A3">
        <w:rPr>
          <w:rFonts w:ascii="Arial" w:eastAsia="Times New Roman" w:hAnsi="Arial" w:cs="Arial"/>
          <w:sz w:val="24"/>
          <w:szCs w:val="24"/>
          <w:lang w:eastAsia="pt-BR"/>
        </w:rPr>
        <w:t>Publique-se. Registre-se. Intime-se.</w:t>
      </w:r>
    </w:p>
    <w:bookmarkEnd w:id="0"/>
    <w:p w:rsidR="007B5610" w:rsidRPr="00E548B4" w:rsidRDefault="007B5610" w:rsidP="000D45A3">
      <w:pPr>
        <w:spacing w:after="5" w:line="276" w:lineRule="auto"/>
        <w:jc w:val="both"/>
        <w:rPr>
          <w:rFonts w:ascii="Arial" w:hAnsi="Arial" w:cs="Arial"/>
          <w:u w:val="single"/>
        </w:rPr>
      </w:pPr>
    </w:p>
    <w:sectPr w:rsidR="007B5610" w:rsidRPr="00E54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A3"/>
    <w:rsid w:val="000D45A3"/>
    <w:rsid w:val="007B5610"/>
    <w:rsid w:val="00E5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D907"/>
  <w15:chartTrackingRefBased/>
  <w15:docId w15:val="{17DC66CE-1A33-464E-8A83-E1FA0773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4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45A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D4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D4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648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2026-05-20T14:37:00Z</dcterms:created>
  <dcterms:modified xsi:type="dcterms:W3CDTF">2026-05-20T14:53:00Z</dcterms:modified>
</cp:coreProperties>
</file>