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PROCESSO Nº </w:t>
      </w:r>
      <w:r w:rsidRPr="00AE6698">
        <w:rPr>
          <w:rFonts w:ascii="Arial" w:eastAsia="Times New Roman" w:hAnsi="Arial" w:cs="Arial"/>
          <w:bCs/>
          <w:sz w:val="24"/>
          <w:szCs w:val="24"/>
          <w:lang w:eastAsia="pt-BR"/>
        </w:rPr>
        <w:t>0865437-21.2024.8.14.0301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b/>
          <w:sz w:val="24"/>
          <w:szCs w:val="24"/>
          <w:lang w:eastAsia="pt-BR"/>
        </w:rPr>
        <w:t>DECISÃO</w:t>
      </w:r>
    </w:p>
    <w:p w:rsidR="00AE6698" w:rsidRPr="00AE6698" w:rsidRDefault="00AE6698" w:rsidP="00AE669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bookmarkStart w:id="0" w:name="_GoBack"/>
      <w:r w:rsidRPr="00AE669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RELATÓRIO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Ação de Busca e Apreensão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proposta por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DISAL ADMINISTRADORA DE CONSORCIOS LTDA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em face de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MONICA CRISTINA FERREIRA DA SILVA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, objetivando a retomada do veículo Ford </w:t>
      </w:r>
      <w:proofErr w:type="spell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>Ecosport</w:t>
      </w:r>
      <w:proofErr w:type="spell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1.5, cor preta, ano 2020, placa QVI 2E12, gravado com cláusula de alienação fiduciária em garantia no contrato de consórcio nº 7035553, conforme petição inicial de ID 123311127.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O autor alegou que a requerida descumpriu as obrigações contratuais ao deixar de pagar as prestações mensais vencidas a partir de 21 de setembro de 2023, o que ensejou o vencimento antecipado do saldo devedor, totalizando o débito de R$ 25.193,90.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Inicialmente, este juízo determinou que a parte autora emendasse a petição inicial para apresentar a via original física do contrato de alienação fiduciária, sob o fundamento do princípio da </w:t>
      </w:r>
      <w:proofErr w:type="spell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>cartularidade</w:t>
      </w:r>
      <w:proofErr w:type="spell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>, conforme decisão de ID 123665369.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Inconformada, a instituição financeira interpôs recurso de Agravo de Instrumento, autuado sob o nº 0816344-22.2024.8.14.0000 (ID 128073126). 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A 2ª Turma de Direito Privado do Tribunal de Justiça do Estado do Pará, sob a relatoria do Desembargador </w:t>
      </w:r>
      <w:proofErr w:type="spell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>Amilcar</w:t>
      </w:r>
      <w:proofErr w:type="spell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Roberto Bezerra Guimarães, deu provimento ao recurso para cassar a decisão agravada, sob o fundamento de que os contratos de alienação fiduciária eletrônicos prescindem da juntada de via original por não possuírem natureza cambial (ID 131263612). O trânsito em julgado da decisão colegiada foi certificado no ID 134393451.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Por meio da certidão de ID 165667997, a secretaria judicial informou que o despacho de ID 157345617, que designava a participação das partes na Semana Nacional de Conciliação, não foi publicado tempestivamente, perdendo o objeto, além de constar nos autos manifestação expressa da parte autora recusando a </w:t>
      </w:r>
      <w:proofErr w:type="spell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>autocomposição</w:t>
      </w:r>
      <w:proofErr w:type="spell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(ID 161601765).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Os autos vieram conclusos para análise do pedido de medida liminar.</w:t>
      </w:r>
    </w:p>
    <w:p w:rsidR="00AE6698" w:rsidRPr="00AE6698" w:rsidRDefault="00AE6698" w:rsidP="00AE669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FUNDAMENTAÇÃO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A análise do pedido de liminar de busca e apreensão deve ser realizada sob a ótica das disposições específicas do Decreto-Lei nº 911/1969, o qual rege os contratos garantidos por alienação fiduciária.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A concessão da medida liminar exige a comprovação inequívoca da garantia fiduciária e da constituição em mora do devedor, conforme preceitua o artigo 3º do mencionado diploma legal.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No caso examinado, a relação contratual e a garantia fiduciária incidente sobre o veículo Ford </w:t>
      </w:r>
      <w:proofErr w:type="spell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>Ecosport</w:t>
      </w:r>
      <w:proofErr w:type="spell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1.5, cor preta, placa QVI 2E12, chassi 9BFZB55S5L8818330, estão plenamente demonstradas pelo contrato de ID 123311129, devidamente assinado pelas partes em 23 de março de 2020.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A inadimplência da requerida também restou demonstrada pelo extrato de conta corrente colacionado ao ID 123311131, que aponta o inadimplemento das parcelas mensais a partir de 21 de setembro de 2023.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 igual modo, a constituição em mora da devedora foi formalizada nos termos do artigo 2º, § 2º, do Decreto-Lei nº 911/1969. A notificação extrajudicial (ID 123311130, página 1) foi devidamente encaminhada ao endereço fornecido pela própria contratante e entregue no dia 16 de janeiro de 2024, conforme certidão de entrega emitida pela empresa de logística e correios (ID 123311130, página 2).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Cumpre ressaltar que, de acordo com o entendimento consolidado na legislação de regência e na jurisprudência pátria, para a caracterização da mora é suficiente a entrega da notificação extrajudicial no endereço do devedor constante no contrato, dispensando-se a assinatura pessoal do próprio destinatário no aviso de recebimento.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Com o provimento do Agravo de Instrumento pelo Tribunal de Justiça do Estado do Pará (ID 131263612), resta superado qualquer óbice quanto à regularidade formal dos documentos de instrução da petição inicial, mostrando-se viável a imediata apreciação da tutela de urgência.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Dessa forma, preenchidos cumulativamente os requisitos legais exigidos, impõe-se o acolhimento do pedido liminar de busca e apreensão do bem fiduciariamente alienado.</w:t>
      </w:r>
    </w:p>
    <w:p w:rsidR="00AE6698" w:rsidRPr="00AE6698" w:rsidRDefault="00AE6698" w:rsidP="00AE6698">
      <w:pPr>
        <w:spacing w:after="5" w:line="276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F52780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com fundamento no artigo 3º do Decreto-Lei nº 911/1969,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DEFIRO A MEDIDA LIMINAR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de busca e apreensão do veículo descrito na petição inicial:</w:t>
      </w:r>
    </w:p>
    <w:p w:rsidR="00AE6698" w:rsidRPr="00F52780" w:rsidRDefault="00AE6698" w:rsidP="00F52780">
      <w:pPr>
        <w:pStyle w:val="PargrafodaLista"/>
        <w:numPr>
          <w:ilvl w:val="0"/>
          <w:numId w:val="2"/>
        </w:num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F5278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Bem:</w:t>
      </w:r>
      <w:r w:rsidRPr="00F52780">
        <w:rPr>
          <w:rFonts w:ascii="Arial" w:eastAsia="Times New Roman" w:hAnsi="Arial" w:cs="Arial"/>
          <w:sz w:val="24"/>
          <w:szCs w:val="24"/>
          <w:lang w:eastAsia="pt-BR"/>
        </w:rPr>
        <w:t xml:space="preserve"> Ford </w:t>
      </w:r>
      <w:proofErr w:type="spellStart"/>
      <w:r w:rsidRPr="00F52780">
        <w:rPr>
          <w:rFonts w:ascii="Arial" w:eastAsia="Times New Roman" w:hAnsi="Arial" w:cs="Arial"/>
          <w:sz w:val="24"/>
          <w:szCs w:val="24"/>
          <w:lang w:eastAsia="pt-BR"/>
        </w:rPr>
        <w:t>Ecosport</w:t>
      </w:r>
      <w:proofErr w:type="spellEnd"/>
      <w:r w:rsidRPr="00F52780">
        <w:rPr>
          <w:rFonts w:ascii="Arial" w:eastAsia="Times New Roman" w:hAnsi="Arial" w:cs="Arial"/>
          <w:sz w:val="24"/>
          <w:szCs w:val="24"/>
          <w:lang w:eastAsia="pt-BR"/>
        </w:rPr>
        <w:t xml:space="preserve"> 1.5, cor preta, ano 2020, placa QVI 2E12, chassi 9BFZB55S5L8818330, </w:t>
      </w:r>
      <w:proofErr w:type="spellStart"/>
      <w:r w:rsidRPr="00F52780">
        <w:rPr>
          <w:rFonts w:ascii="Arial" w:eastAsia="Times New Roman" w:hAnsi="Arial" w:cs="Arial"/>
          <w:sz w:val="24"/>
          <w:szCs w:val="24"/>
          <w:lang w:eastAsia="pt-BR"/>
        </w:rPr>
        <w:t>Renavam</w:t>
      </w:r>
      <w:proofErr w:type="spellEnd"/>
      <w:r w:rsidRPr="00F52780">
        <w:rPr>
          <w:rFonts w:ascii="Arial" w:eastAsia="Times New Roman" w:hAnsi="Arial" w:cs="Arial"/>
          <w:sz w:val="24"/>
          <w:szCs w:val="24"/>
          <w:lang w:eastAsia="pt-BR"/>
        </w:rPr>
        <w:t xml:space="preserve"> 01227093729.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Para a efetivação da presente medida, determino as seguintes providências:</w:t>
      </w:r>
    </w:p>
    <w:p w:rsidR="00AE6698" w:rsidRPr="00AE6698" w:rsidRDefault="00F52780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t>a) E</w:t>
      </w:r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>xpeça-se</w:t>
      </w:r>
      <w:proofErr w:type="gramEnd"/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o competente mandado de busca e apreensão, restando autorizado, desde já, o uso de força policial e arrombamento, caso estritamente necessários para o cumprimento da diligência, com as devidas cautelas legais;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b) </w:t>
      </w:r>
      <w:r w:rsidR="00F52780">
        <w:rPr>
          <w:rFonts w:ascii="Arial" w:eastAsia="Times New Roman" w:hAnsi="Arial" w:cs="Arial"/>
          <w:sz w:val="24"/>
          <w:szCs w:val="24"/>
          <w:lang w:eastAsia="pt-BR"/>
        </w:rPr>
        <w:t>E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>xecute-se</w:t>
      </w:r>
      <w:proofErr w:type="gram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a medida liminar com a entrega do bem ao depositário indicado pelo credor fiduciário, o qual deverá lavrar termo de depósito individualizado;</w:t>
      </w:r>
    </w:p>
    <w:p w:rsidR="00AE6698" w:rsidRPr="00AE6698" w:rsidRDefault="00F52780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sz w:val="24"/>
          <w:szCs w:val="24"/>
          <w:lang w:eastAsia="pt-BR"/>
        </w:rPr>
        <w:t>c) I</w:t>
      </w:r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nserção de restrição judicial de circulação e transferência sobre o prontuário do veículo junto ao sistema </w:t>
      </w:r>
      <w:proofErr w:type="spellStart"/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>Renajud</w:t>
      </w:r>
      <w:proofErr w:type="spellEnd"/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>, nos termos do artigo 3º, § 9º, do Decreto-Lei nº 911/1969;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d) </w:t>
      </w:r>
      <w:r w:rsidR="00F52780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>ite-se</w:t>
      </w:r>
      <w:proofErr w:type="gramEnd"/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a requerida Monica Cristina Ferreira da Silva para, no prazo de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 (cinco) dias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>, contados da execução da liminar, pagar a integralidade da dívida pendente apresentada pelo credor na petição inicial, hipótese em que o bem lhe será restituído livre de ônus, nos termos do artigo 3º, § 2º, do Decreto-Lei nº 911/1969;</w:t>
      </w:r>
    </w:p>
    <w:p w:rsidR="00AE6698" w:rsidRPr="00AE6698" w:rsidRDefault="00AE6698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e) </w:t>
      </w:r>
      <w:r w:rsidR="00F52780">
        <w:rPr>
          <w:rFonts w:ascii="Arial" w:eastAsia="Times New Roman" w:hAnsi="Arial" w:cs="Arial"/>
          <w:sz w:val="24"/>
          <w:szCs w:val="24"/>
          <w:lang w:eastAsia="pt-BR"/>
        </w:rPr>
        <w:t>C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onste do mandado de citação que a requerida poderá apresentar contestação no prazo de </w:t>
      </w:r>
      <w:r w:rsidRPr="00AE6698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15 (quinze) dias</w:t>
      </w:r>
      <w:r w:rsidRPr="00AE6698">
        <w:rPr>
          <w:rFonts w:ascii="Arial" w:eastAsia="Times New Roman" w:hAnsi="Arial" w:cs="Arial"/>
          <w:sz w:val="24"/>
          <w:szCs w:val="24"/>
          <w:lang w:eastAsia="pt-BR"/>
        </w:rPr>
        <w:t>, contados da execução da liminar, sob pena de revelia e presunção de veracidade dos fatos alegados pela parte autora, conforme o artigo 3º, § 3º, do Decreto-Lei nº 911/1969;</w:t>
      </w:r>
    </w:p>
    <w:p w:rsidR="00AE6698" w:rsidRPr="00AE6698" w:rsidRDefault="00F52780" w:rsidP="00AE6698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>
        <w:rPr>
          <w:rFonts w:ascii="Arial" w:eastAsia="Times New Roman" w:hAnsi="Arial" w:cs="Arial"/>
          <w:sz w:val="24"/>
          <w:szCs w:val="24"/>
          <w:lang w:eastAsia="pt-BR"/>
        </w:rPr>
        <w:lastRenderedPageBreak/>
        <w:t>f) I</w:t>
      </w:r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>ntime-se</w:t>
      </w:r>
      <w:proofErr w:type="gramEnd"/>
      <w:r w:rsidR="00AE6698" w:rsidRPr="00AE6698">
        <w:rPr>
          <w:rFonts w:ascii="Arial" w:eastAsia="Times New Roman" w:hAnsi="Arial" w:cs="Arial"/>
          <w:sz w:val="24"/>
          <w:szCs w:val="24"/>
          <w:lang w:eastAsia="pt-BR"/>
        </w:rPr>
        <w:t xml:space="preserve"> a requerida de que, caso não ocorra o pagamento da dívida no prazo de 5 (cinco) dias contados da apreensão, consolidar-se-ão a propriedade e a posse plena e exclusiva do veículo no patrimônio do credor fiduciário, conforme o artigo 3º, § 1º, do Decreto-Lei nº 911/1969.</w:t>
      </w:r>
    </w:p>
    <w:p w:rsidR="00AE6698" w:rsidRPr="00AE6698" w:rsidRDefault="00AE6698" w:rsidP="00F52780">
      <w:pPr>
        <w:spacing w:after="5" w:line="276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E6698">
        <w:rPr>
          <w:rFonts w:ascii="Arial" w:eastAsia="Times New Roman" w:hAnsi="Arial" w:cs="Arial"/>
          <w:sz w:val="24"/>
          <w:szCs w:val="24"/>
          <w:lang w:eastAsia="pt-BR"/>
        </w:rPr>
        <w:t>Cumpra-se.</w:t>
      </w:r>
    </w:p>
    <w:bookmarkEnd w:id="0"/>
    <w:p w:rsidR="007B5610" w:rsidRPr="00AE6698" w:rsidRDefault="007B5610" w:rsidP="00AE6698">
      <w:pPr>
        <w:spacing w:after="5" w:line="276" w:lineRule="auto"/>
        <w:jc w:val="both"/>
        <w:rPr>
          <w:rFonts w:ascii="Arial" w:hAnsi="Arial" w:cs="Arial"/>
          <w:sz w:val="24"/>
          <w:szCs w:val="24"/>
        </w:rPr>
      </w:pPr>
    </w:p>
    <w:sectPr w:rsidR="007B5610" w:rsidRPr="00AE66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809C0"/>
    <w:multiLevelType w:val="hybridMultilevel"/>
    <w:tmpl w:val="5942B11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1726E"/>
    <w:multiLevelType w:val="multilevel"/>
    <w:tmpl w:val="78F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698"/>
    <w:rsid w:val="007B5610"/>
    <w:rsid w:val="00AE6698"/>
    <w:rsid w:val="00F52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60518"/>
  <w15:chartTrackingRefBased/>
  <w15:docId w15:val="{5B934B9B-C053-43B9-9FD7-C44890C31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AE66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6698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AE66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E6698"/>
    <w:rPr>
      <w:b/>
      <w:bCs/>
    </w:rPr>
  </w:style>
  <w:style w:type="paragraph" w:styleId="PargrafodaLista">
    <w:name w:val="List Paragraph"/>
    <w:basedOn w:val="Normal"/>
    <w:uiPriority w:val="34"/>
    <w:qFormat/>
    <w:rsid w:val="00F52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898</Words>
  <Characters>4854</Characters>
  <Application>Microsoft Office Word</Application>
  <DocSecurity>0</DocSecurity>
  <Lines>40</Lines>
  <Paragraphs>11</Paragraphs>
  <ScaleCrop>false</ScaleCrop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2026-05-20T15:21:00Z</dcterms:created>
  <dcterms:modified xsi:type="dcterms:W3CDTF">2026-05-20T15:34:00Z</dcterms:modified>
</cp:coreProperties>
</file>