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A04" w:rsidRPr="00641A04" w:rsidRDefault="00641A04" w:rsidP="00641A0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0820245-12.2017.8.14.0301</w:t>
      </w:r>
    </w:p>
    <w:p w:rsidR="00641A04" w:rsidRPr="00641A04" w:rsidRDefault="00641A04" w:rsidP="00641A0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641A04" w:rsidRPr="00641A04" w:rsidRDefault="00641A04" w:rsidP="00641A0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RELATÓRIO</w:t>
      </w:r>
    </w:p>
    <w:p w:rsidR="00641A04" w:rsidRPr="00641A04" w:rsidRDefault="00641A04" w:rsidP="00641A04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proposto por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INSTITUTO EURO AMERICANO DE EDUCAÇÃO CIÊNCIA TECNOLOGIA (FAMAZ)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ROSANETH BARBOSA DE SOUSA MENDES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na sentença homologatória de acordo firmado em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06/11/2018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 xml:space="preserve"> (ID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7218490), que não foi integralmente cumprido pela executada.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O débito foi atualizado pela exequente para o valor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R$ 15.932,16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29/01/2026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(I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166627125), incluindo atualização monetária e juros.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O mandado de penhora e avaliação expedido foi cumprido pelo Oficial de Justiça em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13/12/2025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 xml:space="preserve"> (ID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165089002), que certificou que, no endereço da executada,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foram encontrados bens penhoráveis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>. A residência é humilde, guarnecida apenas por bens de uso familiar de baixo valor (duas camas de solteiro, duas mesas, um sofá e um fogão), insuscetíveis de penhora.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>A exequente foi intimada para se manifestar sob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>re o resultado da diligência (ID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166033358) e, em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29/01/2026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 xml:space="preserve"> (ID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166627116), requereu 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constrição eletrônica via SISBAJUD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, pedindo o bloqueio de valores em contas bancárias da executada, inclusive na modalidade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reiteração automática (teimosinha)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. Em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06/02/2026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 xml:space="preserve"> (ID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167338850), reiterou o pedido.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FUNDAMENTAÇÃO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O pedido de bloqueio eletrônico via SISBAJUD é cabível e encontra amparo no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854 do Código de Processo Civil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>, que autoriza a penhora de dinheiro em depósito ou aplicação financeira do executado, independentemente de prévia localização de outros bens.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A tentativa de penhora física foi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frustrada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pela ausência de bens penhoráveis no domicílio da executada (I</w:t>
      </w:r>
      <w:r w:rsidR="00C47E37"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165089002). A certidão do oficial de justiça demonstra que o patrimônio visível da executada é composto exclusivamente por bens de uso doméstico essenciais,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impenhoráveis por natureza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(art. 833, I a IV, CPC). Diante desse quadro, 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constrição eletrônica sobre ativos financeiros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é o meio mais eficaz e menos gravoso para a satisfação do crédito executado, em conformidade com o princípio da menor onerosidade (art. 805, CPC).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A exequente requereu a modalidade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reiteração automática (teimosinha)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, que consiste no bloqueio contínuo e periódico de valores até o limite do débito. Embora legalmente admitida, essa modalidade impõe um ônus excessivo ao sistema financeiro e pode gerar bloqueios reiterados sobre valores ínfimos ou impenhoráveis, sem a devida contrapartida de controle judicial imediato. Neste momento processual, considerando que a executada não foi previamente submetida ao bloqueio normal e que não há elementos robustos nos autos a indicar dissipação fraudulenta de ativos, entendo que 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modalidade normal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(bloqueio único, sem repetição automática) é suficiente para assegurar o crédito, sem sacrificar desnecessariamente a fluidez do sistema bancário.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Assim, defiro o pedido de bloqueio via SISBAJUD,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apenas na modalidade normal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, sem reiteração automática, determinando a pesquisa e o bloqueio de valores existentes em nome da executada, até o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limite do débito atualizado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O valor do débito indicado pela exequente, atualizado até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28/01/2026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(Id 166627125), é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R$ 15.932,16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(quinze mil, novecentos e trinta e dois reais e dezesseis centavos), valor que adoto como referência para o bloqueio, sem prejuízo de posterior atualização quando da efetiva realização do crédito.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o pedido de bloqueio eletrônico via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(Id 166627116 e Id 167338850), na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modalidade normal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(sem reiteração automática), para que seja realizada pesquisa e eventual constrição de valores em contas bancárias e aplicações financeiras em nome da executada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ROSANETH BARBOSA DE SOUSA MENDES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, CPF 693.124.192-34, até o limite de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R$ 15.932,16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(quinze mil, novecentos e trinta e dois reais e dezesseis centavos);</w:t>
      </w:r>
    </w:p>
    <w:p w:rsidR="00C47E37" w:rsidRPr="00641A04" w:rsidRDefault="00C47E37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47E37">
        <w:rPr>
          <w:rFonts w:ascii="Arial" w:eastAsia="Times New Roman" w:hAnsi="Arial" w:cs="Arial"/>
          <w:sz w:val="24"/>
          <w:szCs w:val="24"/>
          <w:lang w:eastAsia="pt-BR"/>
        </w:rPr>
        <w:t>Considerando o disposto no Provimento Conjunto nº 1/2025-CGJ, de 29 de janeiro de 2025, publicado em 3 de fevereiro de 2025, determino o encaminhamento dos presentes autos ao GEIP – Grupo de Execução e Inteligência Processual, para a competente gestão de ações e procedimentos voltados à localização ativos financeiros da parte ré, conforme requerido nos autos.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641A0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a modalidade de reiteração automática (teimosinha), nos termos da fundamentação;</w:t>
      </w:r>
    </w:p>
    <w:p w:rsidR="00641A04" w:rsidRPr="00641A04" w:rsidRDefault="00C47E37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="00641A04" w:rsidRPr="00641A04">
        <w:rPr>
          <w:rFonts w:ascii="Arial" w:eastAsia="Times New Roman" w:hAnsi="Arial" w:cs="Arial"/>
          <w:sz w:val="24"/>
          <w:szCs w:val="24"/>
          <w:lang w:eastAsia="pt-BR"/>
        </w:rPr>
        <w:t>) Após</w:t>
      </w:r>
      <w:proofErr w:type="gramEnd"/>
      <w:r w:rsidR="00641A04"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o retorno do sistema, intime-se a exequente para ciência e requerimentos;</w:t>
      </w:r>
    </w:p>
    <w:p w:rsidR="00641A04" w:rsidRPr="00641A04" w:rsidRDefault="00C47E37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</w:t>
      </w:r>
      <w:r w:rsidR="00641A04" w:rsidRPr="00641A04">
        <w:rPr>
          <w:rFonts w:ascii="Arial" w:eastAsia="Times New Roman" w:hAnsi="Arial" w:cs="Arial"/>
          <w:sz w:val="24"/>
          <w:szCs w:val="24"/>
          <w:lang w:eastAsia="pt-BR"/>
        </w:rPr>
        <w:t>) Não</w:t>
      </w:r>
      <w:proofErr w:type="gramEnd"/>
      <w:r w:rsidR="00641A04" w:rsidRPr="00641A04">
        <w:rPr>
          <w:rFonts w:ascii="Arial" w:eastAsia="Times New Roman" w:hAnsi="Arial" w:cs="Arial"/>
          <w:sz w:val="24"/>
          <w:szCs w:val="24"/>
          <w:lang w:eastAsia="pt-BR"/>
        </w:rPr>
        <w:t xml:space="preserve"> havendo valores ou sendo insuficientes, a parte exequente poderá requerer outras medidas, indicando novos meios de localização de bens, no prazo de 15 (quinze) dias.</w:t>
      </w:r>
    </w:p>
    <w:p w:rsidR="00641A04" w:rsidRPr="00641A04" w:rsidRDefault="00641A04" w:rsidP="00C47E37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41A04">
        <w:rPr>
          <w:rFonts w:ascii="Arial" w:eastAsia="Times New Roman" w:hAnsi="Arial" w:cs="Arial"/>
          <w:sz w:val="24"/>
          <w:szCs w:val="24"/>
          <w:lang w:eastAsia="pt-BR"/>
        </w:rPr>
        <w:t>Publique-se. Intime-se. Cumpra-se.</w:t>
      </w:r>
    </w:p>
    <w:bookmarkEnd w:id="0"/>
    <w:p w:rsidR="00675071" w:rsidRPr="00641A04" w:rsidRDefault="00675071" w:rsidP="00641A04">
      <w:pPr>
        <w:jc w:val="both"/>
        <w:rPr>
          <w:rFonts w:ascii="Arial" w:hAnsi="Arial" w:cs="Arial"/>
          <w:sz w:val="24"/>
          <w:szCs w:val="24"/>
        </w:rPr>
      </w:pPr>
    </w:p>
    <w:sectPr w:rsidR="00675071" w:rsidRPr="00641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A04"/>
    <w:rsid w:val="00641A04"/>
    <w:rsid w:val="00675071"/>
    <w:rsid w:val="00C4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8376"/>
  <w15:chartTrackingRefBased/>
  <w15:docId w15:val="{D75AD663-57F0-4027-B5B9-FCC5D54D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1A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1A0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1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1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698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2026-07-02T16:10:00Z</dcterms:created>
  <dcterms:modified xsi:type="dcterms:W3CDTF">2026-07-02T16:18:00Z</dcterms:modified>
</cp:coreProperties>
</file>