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1BD5" w:rsidRPr="00FD1BD5" w:rsidRDefault="00FD1BD5" w:rsidP="00FD1BD5">
      <w:pPr>
        <w:spacing w:after="5" w:line="276" w:lineRule="auto"/>
        <w:jc w:val="both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FD1BD5">
        <w:rPr>
          <w:rFonts w:ascii="Arial" w:eastAsia="Times New Roman" w:hAnsi="Arial" w:cs="Arial"/>
          <w:sz w:val="24"/>
          <w:szCs w:val="24"/>
          <w:lang w:eastAsia="pt-BR"/>
        </w:rPr>
        <w:t xml:space="preserve">Processo nº </w:t>
      </w:r>
      <w:r w:rsidRPr="00FD1BD5">
        <w:rPr>
          <w:rFonts w:ascii="Arial" w:eastAsia="Times New Roman" w:hAnsi="Arial" w:cs="Arial"/>
          <w:bCs/>
          <w:sz w:val="24"/>
          <w:szCs w:val="24"/>
          <w:lang w:eastAsia="pt-BR"/>
        </w:rPr>
        <w:t>0913964-38.2023.8.14.0301</w:t>
      </w:r>
    </w:p>
    <w:p w:rsidR="00FD1BD5" w:rsidRPr="00FD1BD5" w:rsidRDefault="00FD1BD5" w:rsidP="00FD1BD5">
      <w:pPr>
        <w:spacing w:after="5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FD1BD5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DECISÃO</w:t>
      </w:r>
    </w:p>
    <w:p w:rsidR="00FD1BD5" w:rsidRPr="00FD1BD5" w:rsidRDefault="00FD1BD5" w:rsidP="00FD1BD5">
      <w:pPr>
        <w:spacing w:after="5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bookmarkStart w:id="0" w:name="_GoBack"/>
      <w:r w:rsidRPr="00FD1BD5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RELATÓRIO</w:t>
      </w:r>
    </w:p>
    <w:p w:rsidR="00FD1BD5" w:rsidRPr="00FD1BD5" w:rsidRDefault="00FD1BD5" w:rsidP="001A1FDF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1BD5">
        <w:rPr>
          <w:rFonts w:ascii="Arial" w:eastAsia="Times New Roman" w:hAnsi="Arial" w:cs="Arial"/>
          <w:sz w:val="24"/>
          <w:szCs w:val="24"/>
          <w:lang w:eastAsia="pt-BR"/>
        </w:rPr>
        <w:t xml:space="preserve">Trata-se de </w:t>
      </w:r>
      <w:r w:rsidRPr="00FD1BD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Ação de Busca e Apreensão em Alienação Fiduciária</w:t>
      </w:r>
      <w:r w:rsidRPr="00FD1BD5">
        <w:rPr>
          <w:rFonts w:ascii="Arial" w:eastAsia="Times New Roman" w:hAnsi="Arial" w:cs="Arial"/>
          <w:sz w:val="24"/>
          <w:szCs w:val="24"/>
          <w:lang w:eastAsia="pt-BR"/>
        </w:rPr>
        <w:t xml:space="preserve"> proposta por </w:t>
      </w:r>
      <w:r w:rsidRPr="00FD1BD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BANCO GM S.A.</w:t>
      </w:r>
      <w:r w:rsidRPr="00FD1BD5">
        <w:rPr>
          <w:rFonts w:ascii="Arial" w:eastAsia="Times New Roman" w:hAnsi="Arial" w:cs="Arial"/>
          <w:sz w:val="24"/>
          <w:szCs w:val="24"/>
          <w:lang w:eastAsia="pt-BR"/>
        </w:rPr>
        <w:t xml:space="preserve"> em face de </w:t>
      </w:r>
      <w:r w:rsidRPr="00FD1BD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RODOLFO AQUINO VASCONCELOS DO CARMO</w:t>
      </w:r>
      <w:r w:rsidRPr="00FD1BD5">
        <w:rPr>
          <w:rFonts w:ascii="Arial" w:eastAsia="Times New Roman" w:hAnsi="Arial" w:cs="Arial"/>
          <w:sz w:val="24"/>
          <w:szCs w:val="24"/>
          <w:lang w:eastAsia="pt-BR"/>
        </w:rPr>
        <w:t xml:space="preserve">, fundada no inadimplemento de cédula de crédito bancário com garantia fiduciária (ID 106506554). </w:t>
      </w:r>
    </w:p>
    <w:p w:rsidR="00FD1BD5" w:rsidRPr="00FD1BD5" w:rsidRDefault="00FD1BD5" w:rsidP="001A1FDF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1BD5">
        <w:rPr>
          <w:rFonts w:ascii="Arial" w:eastAsia="Times New Roman" w:hAnsi="Arial" w:cs="Arial"/>
          <w:sz w:val="24"/>
          <w:szCs w:val="24"/>
          <w:lang w:eastAsia="pt-BR"/>
        </w:rPr>
        <w:t>A medida liminar de busca e apreensão foi deferida pelo Juízo em 19/02/2024 (ID 108989935). O veículo foi devidamente apreendido em 26/02/2024, conforme certidão do Oficial de Justiça (ID 110019217).</w:t>
      </w:r>
      <w:r w:rsidR="001A1FD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gramStart"/>
      <w:r w:rsidRPr="00FD1BD5">
        <w:rPr>
          <w:rFonts w:ascii="Arial" w:eastAsia="Times New Roman" w:hAnsi="Arial" w:cs="Arial"/>
          <w:sz w:val="24"/>
          <w:szCs w:val="24"/>
          <w:lang w:eastAsia="pt-BR"/>
        </w:rPr>
        <w:t>O</w:t>
      </w:r>
      <w:proofErr w:type="gramEnd"/>
      <w:r w:rsidRPr="00FD1BD5">
        <w:rPr>
          <w:rFonts w:ascii="Arial" w:eastAsia="Times New Roman" w:hAnsi="Arial" w:cs="Arial"/>
          <w:sz w:val="24"/>
          <w:szCs w:val="24"/>
          <w:lang w:eastAsia="pt-BR"/>
        </w:rPr>
        <w:t xml:space="preserve"> réu apresentou contestação c/c pedido de revogação de liminar em 19/03/2024 (ID 111559827). </w:t>
      </w:r>
    </w:p>
    <w:p w:rsidR="00FD1BD5" w:rsidRPr="00FD1BD5" w:rsidRDefault="00FD1BD5" w:rsidP="001A1FDF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1BD5">
        <w:rPr>
          <w:rFonts w:ascii="Arial" w:eastAsia="Times New Roman" w:hAnsi="Arial" w:cs="Arial"/>
          <w:sz w:val="24"/>
          <w:szCs w:val="24"/>
          <w:lang w:eastAsia="pt-BR"/>
        </w:rPr>
        <w:t xml:space="preserve">Posteriormente, em 17/04/2024, foi proferida </w:t>
      </w:r>
      <w:r w:rsidRPr="00FD1BD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sentença de procedência</w:t>
      </w:r>
      <w:r w:rsidRPr="00FD1BD5">
        <w:rPr>
          <w:rFonts w:ascii="Arial" w:eastAsia="Times New Roman" w:hAnsi="Arial" w:cs="Arial"/>
          <w:sz w:val="24"/>
          <w:szCs w:val="24"/>
          <w:lang w:eastAsia="pt-BR"/>
        </w:rPr>
        <w:t xml:space="preserve"> dos pedidos iniciais (ID 113518890), declarando rescindido o contrato e consolidando a posse e a propriedade plena do bem no patrimônio do credor fiduciário. A referida decisão transitou livremente em julgado em 15/05/2024, conforme certidão de ID 115562182.</w:t>
      </w:r>
    </w:p>
    <w:p w:rsidR="001A1FDF" w:rsidRDefault="00FD1BD5" w:rsidP="00FD1BD5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1BD5">
        <w:rPr>
          <w:rFonts w:ascii="Arial" w:eastAsia="Times New Roman" w:hAnsi="Arial" w:cs="Arial"/>
          <w:sz w:val="24"/>
          <w:szCs w:val="24"/>
          <w:lang w:eastAsia="pt-BR"/>
        </w:rPr>
        <w:t>Após o trânsito em julgado, ocorreram as seguintes manifestações nos autos:</w:t>
      </w:r>
    </w:p>
    <w:p w:rsidR="001A1FDF" w:rsidRDefault="00FD1BD5" w:rsidP="001A1FDF">
      <w:pPr>
        <w:pStyle w:val="PargrafodaLista"/>
        <w:numPr>
          <w:ilvl w:val="0"/>
          <w:numId w:val="1"/>
        </w:num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A1FDF">
        <w:rPr>
          <w:rFonts w:ascii="Arial" w:eastAsia="Times New Roman" w:hAnsi="Arial" w:cs="Arial"/>
          <w:sz w:val="24"/>
          <w:szCs w:val="24"/>
          <w:lang w:eastAsia="pt-BR"/>
        </w:rPr>
        <w:t>Em 21/05/2024, o réu peticionou requerendo a habilitação de novo procurador, Dr. Valdecir Rabelo Filho, OAB/ES 19.462 (ID 115988575 e ID 115988577);</w:t>
      </w:r>
    </w:p>
    <w:p w:rsidR="001A1FDF" w:rsidRDefault="00FD1BD5" w:rsidP="001A1FDF">
      <w:pPr>
        <w:pStyle w:val="PargrafodaLista"/>
        <w:numPr>
          <w:ilvl w:val="0"/>
          <w:numId w:val="1"/>
        </w:num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A1FDF">
        <w:rPr>
          <w:rFonts w:ascii="Arial" w:eastAsia="Times New Roman" w:hAnsi="Arial" w:cs="Arial"/>
          <w:sz w:val="24"/>
          <w:szCs w:val="24"/>
          <w:lang w:eastAsia="pt-BR"/>
        </w:rPr>
        <w:t>Em 14/08/2024, a instituição financeira autora noticiou a realização da venda do veículo em leilão extrajudicial e apresentou demonstrativo de cálculo do saldo devedor remanescente, apontando o saldo devedor atual de R$ 53.533,45 (ID 123224238 e ID 123224239);</w:t>
      </w:r>
    </w:p>
    <w:p w:rsidR="001A1FDF" w:rsidRDefault="00FD1BD5" w:rsidP="001A1FDF">
      <w:pPr>
        <w:pStyle w:val="PargrafodaLista"/>
        <w:numPr>
          <w:ilvl w:val="0"/>
          <w:numId w:val="1"/>
        </w:num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A1FDF">
        <w:rPr>
          <w:rFonts w:ascii="Arial" w:eastAsia="Times New Roman" w:hAnsi="Arial" w:cs="Arial"/>
          <w:sz w:val="24"/>
          <w:szCs w:val="24"/>
          <w:lang w:eastAsia="pt-BR"/>
        </w:rPr>
        <w:t xml:space="preserve">Em 11/02/2025, o patrono do banco autor, Dr. Carlos Eduardo Mendes Albuquerque, protocolou petição de </w:t>
      </w:r>
      <w:r w:rsidRPr="001A1FD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Cumprimento de Sentença</w:t>
      </w:r>
      <w:r w:rsidRPr="001A1FDF">
        <w:rPr>
          <w:rFonts w:ascii="Arial" w:eastAsia="Times New Roman" w:hAnsi="Arial" w:cs="Arial"/>
          <w:sz w:val="24"/>
          <w:szCs w:val="24"/>
          <w:lang w:eastAsia="pt-BR"/>
        </w:rPr>
        <w:t xml:space="preserve"> (ID 136701677), acompanhada de planilha de débitos judiciais (ID 136701678), objetivando a execução dos honorários advocatícios sucumbenciais arbitrados na sentença, no valor atualizado de R$ 11.628,89;</w:t>
      </w:r>
    </w:p>
    <w:p w:rsidR="00FD1BD5" w:rsidRPr="00FD1BD5" w:rsidRDefault="00FD1BD5" w:rsidP="001A1FDF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1BD5">
        <w:rPr>
          <w:rFonts w:ascii="Arial" w:eastAsia="Times New Roman" w:hAnsi="Arial" w:cs="Arial"/>
          <w:sz w:val="24"/>
          <w:szCs w:val="24"/>
          <w:lang w:eastAsia="pt-BR"/>
        </w:rPr>
        <w:t>Vieram os autos conclusos.</w:t>
      </w:r>
    </w:p>
    <w:p w:rsidR="00FD1BD5" w:rsidRPr="00FD1BD5" w:rsidRDefault="00FD1BD5" w:rsidP="00FD1BD5">
      <w:pPr>
        <w:spacing w:after="5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FD1BD5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FUNDAMENTAÇÃO</w:t>
      </w:r>
    </w:p>
    <w:p w:rsidR="00FD1BD5" w:rsidRPr="00FD1BD5" w:rsidRDefault="001A1FDF" w:rsidP="00FD1BD5">
      <w:pPr>
        <w:spacing w:after="5" w:line="276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2.1. </w:t>
      </w:r>
      <w:r w:rsidR="00FD1BD5" w:rsidRPr="00FD1BD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Do Pedido de Cumprimento de Sentença (ID 136701677)</w:t>
      </w:r>
    </w:p>
    <w:p w:rsidR="00FD1BD5" w:rsidRPr="00FD1BD5" w:rsidRDefault="00FD1BD5" w:rsidP="001A1FDF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1BD5">
        <w:rPr>
          <w:rFonts w:ascii="Arial" w:eastAsia="Times New Roman" w:hAnsi="Arial" w:cs="Arial"/>
          <w:sz w:val="24"/>
          <w:szCs w:val="24"/>
          <w:lang w:eastAsia="pt-BR"/>
        </w:rPr>
        <w:t>Verifica-se que a fase de conhecimento se encontra integralmente resolvida, com sentença meritória de procedência transitada em julgado (ID 113518890 e ID 115562182). O credor preencheu os requisitos do artigo 524 do Código de Processo Civil, apresentando demonstrativo discriminado e atualizado do crédito de honorários sucumbenciais (ID 136701678).</w:t>
      </w:r>
    </w:p>
    <w:p w:rsidR="00FD1BD5" w:rsidRPr="00FD1BD5" w:rsidRDefault="00FD1BD5" w:rsidP="001A1FDF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1BD5">
        <w:rPr>
          <w:rFonts w:ascii="Arial" w:eastAsia="Times New Roman" w:hAnsi="Arial" w:cs="Arial"/>
          <w:sz w:val="24"/>
          <w:szCs w:val="24"/>
          <w:lang w:eastAsia="pt-BR"/>
        </w:rPr>
        <w:t>Desse modo, o processamento da execução deve seguir o rito previsto no artigo 523 do Código de Processo Civil.</w:t>
      </w:r>
    </w:p>
    <w:p w:rsidR="00FD1BD5" w:rsidRPr="00FD1BD5" w:rsidRDefault="00FD1BD5" w:rsidP="001A1FDF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1BD5">
        <w:rPr>
          <w:rFonts w:ascii="Arial" w:eastAsia="Times New Roman" w:hAnsi="Arial" w:cs="Arial"/>
          <w:sz w:val="24"/>
          <w:szCs w:val="24"/>
          <w:lang w:eastAsia="pt-BR"/>
        </w:rPr>
        <w:t xml:space="preserve">Quanto ao requerimento formulado pelo exequente para que a intimação da parte executada ocorra por meio do aplicativo de mensagens WhatsApp (ID </w:t>
      </w:r>
      <w:r w:rsidRPr="00FD1BD5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136701677), verifica-se que o devedor possui procuradores constituídos nos autos, inclusive com </w:t>
      </w:r>
      <w:proofErr w:type="spellStart"/>
      <w:r w:rsidRPr="00FD1BD5">
        <w:rPr>
          <w:rFonts w:ascii="Arial" w:eastAsia="Times New Roman" w:hAnsi="Arial" w:cs="Arial"/>
          <w:sz w:val="24"/>
          <w:szCs w:val="24"/>
          <w:lang w:eastAsia="pt-BR"/>
        </w:rPr>
        <w:t>peticionamento</w:t>
      </w:r>
      <w:proofErr w:type="spellEnd"/>
      <w:r w:rsidRPr="00FD1BD5">
        <w:rPr>
          <w:rFonts w:ascii="Arial" w:eastAsia="Times New Roman" w:hAnsi="Arial" w:cs="Arial"/>
          <w:sz w:val="24"/>
          <w:szCs w:val="24"/>
          <w:lang w:eastAsia="pt-BR"/>
        </w:rPr>
        <w:t xml:space="preserve"> recente de habilitação sob o ID 115988575. </w:t>
      </w:r>
    </w:p>
    <w:p w:rsidR="00FD1BD5" w:rsidRPr="00FD1BD5" w:rsidRDefault="00FD1BD5" w:rsidP="001A1FDF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1BD5">
        <w:rPr>
          <w:rFonts w:ascii="Arial" w:eastAsia="Times New Roman" w:hAnsi="Arial" w:cs="Arial"/>
          <w:sz w:val="24"/>
          <w:szCs w:val="24"/>
          <w:lang w:eastAsia="pt-BR"/>
        </w:rPr>
        <w:t>Dessa forma, aplica-se a regra do artigo 513, § 2º, inciso I, do Código de Processo Civil, devendo a intimação para o cumprimento de sentença ocorrer por meio de publicação no Diário da Justiça Eletrônico, direcionada aos advogados habilitados da parte devedora.</w:t>
      </w:r>
    </w:p>
    <w:p w:rsidR="00FD1BD5" w:rsidRPr="00FD1BD5" w:rsidRDefault="00FD1BD5" w:rsidP="00FD1BD5">
      <w:pPr>
        <w:spacing w:after="5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FD1BD5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3. DECISÃO</w:t>
      </w:r>
    </w:p>
    <w:p w:rsidR="00FD1BD5" w:rsidRPr="00FD1BD5" w:rsidRDefault="00FD1BD5" w:rsidP="001A1FDF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1BD5">
        <w:rPr>
          <w:rFonts w:ascii="Arial" w:eastAsia="Times New Roman" w:hAnsi="Arial" w:cs="Arial"/>
          <w:sz w:val="24"/>
          <w:szCs w:val="24"/>
          <w:lang w:eastAsia="pt-BR"/>
        </w:rPr>
        <w:t>Ante o exposto:</w:t>
      </w:r>
    </w:p>
    <w:p w:rsidR="00FD1BD5" w:rsidRPr="00FD1BD5" w:rsidRDefault="00FD1BD5" w:rsidP="00FD1BD5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FD1BD5">
        <w:rPr>
          <w:rFonts w:ascii="Arial" w:eastAsia="Times New Roman" w:hAnsi="Arial" w:cs="Arial"/>
          <w:sz w:val="24"/>
          <w:szCs w:val="24"/>
          <w:lang w:eastAsia="pt-BR"/>
        </w:rPr>
        <w:t xml:space="preserve">a) </w:t>
      </w:r>
      <w:r w:rsidRPr="00FD1BD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</w:t>
      </w:r>
      <w:proofErr w:type="gramEnd"/>
      <w:r w:rsidRPr="00FD1BD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a retificação da autuação</w:t>
      </w:r>
      <w:r w:rsidRPr="00FD1BD5">
        <w:rPr>
          <w:rFonts w:ascii="Arial" w:eastAsia="Times New Roman" w:hAnsi="Arial" w:cs="Arial"/>
          <w:sz w:val="24"/>
          <w:szCs w:val="24"/>
          <w:lang w:eastAsia="pt-BR"/>
        </w:rPr>
        <w:t xml:space="preserve"> do processo no sistema </w:t>
      </w:r>
      <w:proofErr w:type="spellStart"/>
      <w:r w:rsidRPr="00FD1BD5">
        <w:rPr>
          <w:rFonts w:ascii="Arial" w:eastAsia="Times New Roman" w:hAnsi="Arial" w:cs="Arial"/>
          <w:sz w:val="24"/>
          <w:szCs w:val="24"/>
          <w:lang w:eastAsia="pt-BR"/>
        </w:rPr>
        <w:t>PJe</w:t>
      </w:r>
      <w:proofErr w:type="spellEnd"/>
      <w:r w:rsidRPr="00FD1BD5">
        <w:rPr>
          <w:rFonts w:ascii="Arial" w:eastAsia="Times New Roman" w:hAnsi="Arial" w:cs="Arial"/>
          <w:sz w:val="24"/>
          <w:szCs w:val="24"/>
          <w:lang w:eastAsia="pt-BR"/>
        </w:rPr>
        <w:t xml:space="preserve"> para que passe a tramitar na classe de </w:t>
      </w:r>
      <w:r w:rsidRPr="00FD1BD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Cumprimento de Sentença</w:t>
      </w:r>
      <w:r w:rsidRPr="00FD1BD5">
        <w:rPr>
          <w:rFonts w:ascii="Arial" w:eastAsia="Times New Roman" w:hAnsi="Arial" w:cs="Arial"/>
          <w:sz w:val="24"/>
          <w:szCs w:val="24"/>
          <w:lang w:eastAsia="pt-BR"/>
        </w:rPr>
        <w:t xml:space="preserve">, figurando como exequente </w:t>
      </w:r>
      <w:r w:rsidRPr="00FD1BD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CARLOS EDUARDO MENDES ALBUQUERQUE</w:t>
      </w:r>
      <w:r w:rsidRPr="00FD1BD5">
        <w:rPr>
          <w:rFonts w:ascii="Arial" w:eastAsia="Times New Roman" w:hAnsi="Arial" w:cs="Arial"/>
          <w:sz w:val="24"/>
          <w:szCs w:val="24"/>
          <w:lang w:eastAsia="pt-BR"/>
        </w:rPr>
        <w:t xml:space="preserve"> e como executado </w:t>
      </w:r>
      <w:r w:rsidRPr="00FD1BD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RODOLFO AQUINO VASCONCELOS DO CARMO</w:t>
      </w:r>
      <w:r w:rsidRPr="00FD1BD5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FD1BD5" w:rsidRPr="00FD1BD5" w:rsidRDefault="001A1FDF" w:rsidP="00FD1BD5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b</w:t>
      </w:r>
      <w:r w:rsidR="00FD1BD5" w:rsidRPr="00FD1BD5">
        <w:rPr>
          <w:rFonts w:ascii="Arial" w:eastAsia="Times New Roman" w:hAnsi="Arial" w:cs="Arial"/>
          <w:sz w:val="24"/>
          <w:szCs w:val="24"/>
          <w:lang w:eastAsia="pt-BR"/>
        </w:rPr>
        <w:t xml:space="preserve">) </w:t>
      </w:r>
      <w:r w:rsidR="00FD1BD5" w:rsidRPr="00FD1BD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Intime-se</w:t>
      </w:r>
      <w:proofErr w:type="gramEnd"/>
      <w:r w:rsidR="00FD1BD5" w:rsidRPr="00FD1BD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a parte executada</w:t>
      </w:r>
      <w:r w:rsidR="00FD1BD5" w:rsidRPr="00FD1BD5">
        <w:rPr>
          <w:rFonts w:ascii="Arial" w:eastAsia="Times New Roman" w:hAnsi="Arial" w:cs="Arial"/>
          <w:sz w:val="24"/>
          <w:szCs w:val="24"/>
          <w:lang w:eastAsia="pt-BR"/>
        </w:rPr>
        <w:t xml:space="preserve">, por meio de seus procuradores cadastrados nos autos via Diário da Justiça Eletrônico (art. 513, § 2º, I, do CPC), para que, no prazo de </w:t>
      </w:r>
      <w:r w:rsidR="00FD1BD5" w:rsidRPr="00FD1BD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15 (quinze) dias</w:t>
      </w:r>
      <w:r w:rsidR="00FD1BD5" w:rsidRPr="00FD1BD5">
        <w:rPr>
          <w:rFonts w:ascii="Arial" w:eastAsia="Times New Roman" w:hAnsi="Arial" w:cs="Arial"/>
          <w:sz w:val="24"/>
          <w:szCs w:val="24"/>
          <w:lang w:eastAsia="pt-BR"/>
        </w:rPr>
        <w:t xml:space="preserve">, pague voluntariamente o valor indicado no demonstrativo de ID 136701678, correspondente a </w:t>
      </w:r>
      <w:r w:rsidR="00FD1BD5" w:rsidRPr="00FD1BD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R$ 11.628,89 (onze mil, seiscentos e vinte e oito reais e oitenta e nove centavos)</w:t>
      </w:r>
      <w:r w:rsidR="00FD1BD5" w:rsidRPr="00FD1BD5">
        <w:rPr>
          <w:rFonts w:ascii="Arial" w:eastAsia="Times New Roman" w:hAnsi="Arial" w:cs="Arial"/>
          <w:sz w:val="24"/>
          <w:szCs w:val="24"/>
          <w:lang w:eastAsia="pt-BR"/>
        </w:rPr>
        <w:t>, o qual deverá ser devidamente atualizado até a data do efetivo depósito;</w:t>
      </w:r>
    </w:p>
    <w:p w:rsidR="00FD1BD5" w:rsidRPr="00FD1BD5" w:rsidRDefault="001A1FDF" w:rsidP="00FD1BD5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c</w:t>
      </w:r>
      <w:r w:rsidR="00FD1BD5" w:rsidRPr="00FD1BD5">
        <w:rPr>
          <w:rFonts w:ascii="Arial" w:eastAsia="Times New Roman" w:hAnsi="Arial" w:cs="Arial"/>
          <w:sz w:val="24"/>
          <w:szCs w:val="24"/>
          <w:lang w:eastAsia="pt-BR"/>
        </w:rPr>
        <w:t xml:space="preserve">) </w:t>
      </w:r>
      <w:r w:rsidR="00FD1BD5" w:rsidRPr="00FD1BD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Advirta-se</w:t>
      </w:r>
      <w:proofErr w:type="gramEnd"/>
      <w:r w:rsidR="00FD1BD5" w:rsidRPr="00FD1BD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a parte executada</w:t>
      </w:r>
      <w:r w:rsidR="00FD1BD5" w:rsidRPr="00FD1BD5">
        <w:rPr>
          <w:rFonts w:ascii="Arial" w:eastAsia="Times New Roman" w:hAnsi="Arial" w:cs="Arial"/>
          <w:sz w:val="24"/>
          <w:szCs w:val="24"/>
          <w:lang w:eastAsia="pt-BR"/>
        </w:rPr>
        <w:t xml:space="preserve"> de que, transcorrido o prazo de 15 (quinze) dias sem o pagamento voluntário, iniciar-se-á, independentemente de nova intimação, o prazo de </w:t>
      </w:r>
      <w:r w:rsidR="00FD1BD5" w:rsidRPr="00FD1BD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15 (quinze) dias para apresentação de impugnação</w:t>
      </w:r>
      <w:r w:rsidR="00FD1BD5" w:rsidRPr="00FD1BD5">
        <w:rPr>
          <w:rFonts w:ascii="Arial" w:eastAsia="Times New Roman" w:hAnsi="Arial" w:cs="Arial"/>
          <w:sz w:val="24"/>
          <w:szCs w:val="24"/>
          <w:lang w:eastAsia="pt-BR"/>
        </w:rPr>
        <w:t xml:space="preserve"> nos próprios autos (art. 525 do CPC);</w:t>
      </w:r>
    </w:p>
    <w:p w:rsidR="00FD1BD5" w:rsidRPr="00FD1BD5" w:rsidRDefault="001A1FDF" w:rsidP="00FD1BD5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d</w:t>
      </w:r>
      <w:r w:rsidR="00FD1BD5" w:rsidRPr="00FD1BD5">
        <w:rPr>
          <w:rFonts w:ascii="Arial" w:eastAsia="Times New Roman" w:hAnsi="Arial" w:cs="Arial"/>
          <w:sz w:val="24"/>
          <w:szCs w:val="24"/>
          <w:lang w:eastAsia="pt-BR"/>
        </w:rPr>
        <w:t xml:space="preserve">) </w:t>
      </w:r>
      <w:r w:rsidR="00FD1BD5" w:rsidRPr="00FD1BD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Advirta-se</w:t>
      </w:r>
      <w:proofErr w:type="gramEnd"/>
      <w:r w:rsidR="00FD1BD5" w:rsidRPr="00FD1BD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, ainda, a parte executada</w:t>
      </w:r>
      <w:r w:rsidR="00FD1BD5" w:rsidRPr="00FD1BD5">
        <w:rPr>
          <w:rFonts w:ascii="Arial" w:eastAsia="Times New Roman" w:hAnsi="Arial" w:cs="Arial"/>
          <w:sz w:val="24"/>
          <w:szCs w:val="24"/>
          <w:lang w:eastAsia="pt-BR"/>
        </w:rPr>
        <w:t xml:space="preserve"> de que o não pagamento tempestivo ensejará o acréscimo de </w:t>
      </w:r>
      <w:r w:rsidR="00FD1BD5" w:rsidRPr="00FD1BD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multa de 10% (dez por cento)</w:t>
      </w:r>
      <w:r w:rsidR="00FD1BD5" w:rsidRPr="00FD1BD5">
        <w:rPr>
          <w:rFonts w:ascii="Arial" w:eastAsia="Times New Roman" w:hAnsi="Arial" w:cs="Arial"/>
          <w:sz w:val="24"/>
          <w:szCs w:val="24"/>
          <w:lang w:eastAsia="pt-BR"/>
        </w:rPr>
        <w:t xml:space="preserve"> e, também, de </w:t>
      </w:r>
      <w:r w:rsidR="00FD1BD5" w:rsidRPr="00FD1BD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honorários advocatícios de 10% (dez por cento)</w:t>
      </w:r>
      <w:r w:rsidR="00FD1BD5" w:rsidRPr="00FD1BD5">
        <w:rPr>
          <w:rFonts w:ascii="Arial" w:eastAsia="Times New Roman" w:hAnsi="Arial" w:cs="Arial"/>
          <w:sz w:val="24"/>
          <w:szCs w:val="24"/>
          <w:lang w:eastAsia="pt-BR"/>
        </w:rPr>
        <w:t xml:space="preserve"> sobre o valor do débito executado, nos termos do artigo 523, § 1º, do Código de Processo Civil, autorizando-se, em caso de inadimplemento, a expedição de mandado de penhora e avaliação (art. 523, § 3º, do CPC).</w:t>
      </w:r>
    </w:p>
    <w:p w:rsidR="00FD1BD5" w:rsidRPr="00FD1BD5" w:rsidRDefault="00FD1BD5" w:rsidP="001A1FDF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1BD5">
        <w:rPr>
          <w:rFonts w:ascii="Arial" w:eastAsia="Times New Roman" w:hAnsi="Arial" w:cs="Arial"/>
          <w:sz w:val="24"/>
          <w:szCs w:val="24"/>
          <w:lang w:eastAsia="pt-BR"/>
        </w:rPr>
        <w:t>Cumpra-se com as cautelas legais.</w:t>
      </w:r>
    </w:p>
    <w:bookmarkEnd w:id="0"/>
    <w:p w:rsidR="007B5610" w:rsidRPr="00FD1BD5" w:rsidRDefault="007B5610" w:rsidP="00FD1BD5">
      <w:pPr>
        <w:spacing w:after="5" w:line="276" w:lineRule="auto"/>
        <w:jc w:val="both"/>
        <w:rPr>
          <w:rFonts w:ascii="Arial" w:hAnsi="Arial" w:cs="Arial"/>
          <w:sz w:val="24"/>
          <w:szCs w:val="24"/>
        </w:rPr>
      </w:pPr>
    </w:p>
    <w:sectPr w:rsidR="007B5610" w:rsidRPr="00FD1B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2A0915"/>
    <w:multiLevelType w:val="hybridMultilevel"/>
    <w:tmpl w:val="575844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6E7E95"/>
    <w:multiLevelType w:val="hybridMultilevel"/>
    <w:tmpl w:val="CA8A8B46"/>
    <w:lvl w:ilvl="0" w:tplc="C07E56E4">
      <w:start w:val="1"/>
      <w:numFmt w:val="lowerLetter"/>
      <w:lvlText w:val="%1)"/>
      <w:lvlJc w:val="left"/>
      <w:pPr>
        <w:ind w:left="768" w:hanging="408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BD5"/>
    <w:rsid w:val="001A1FDF"/>
    <w:rsid w:val="007B5610"/>
    <w:rsid w:val="00FD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553DC"/>
  <w15:chartTrackingRefBased/>
  <w15:docId w15:val="{6DA40770-5C46-41EB-A93E-2D116AE6C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D1B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D1B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1BD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D1BD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D1B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D1BD5"/>
    <w:rPr>
      <w:b/>
      <w:bCs/>
    </w:rPr>
  </w:style>
  <w:style w:type="paragraph" w:styleId="PargrafodaLista">
    <w:name w:val="List Paragraph"/>
    <w:basedOn w:val="Normal"/>
    <w:uiPriority w:val="34"/>
    <w:qFormat/>
    <w:rsid w:val="001A1F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551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664</Words>
  <Characters>3587</Characters>
  <Application>Microsoft Office Word</Application>
  <DocSecurity>0</DocSecurity>
  <Lines>29</Lines>
  <Paragraphs>8</Paragraphs>
  <ScaleCrop>false</ScaleCrop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2026-05-20T15:49:00Z</dcterms:created>
  <dcterms:modified xsi:type="dcterms:W3CDTF">2026-05-20T16:07:00Z</dcterms:modified>
</cp:coreProperties>
</file>