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335" w:rsidRPr="00283335" w:rsidRDefault="00283335" w:rsidP="00283335">
      <w:pPr>
        <w:spacing w:after="5" w:line="276" w:lineRule="auto"/>
        <w:jc w:val="both"/>
        <w:outlineLvl w:val="0"/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bCs/>
          <w:kern w:val="36"/>
          <w:sz w:val="24"/>
          <w:szCs w:val="24"/>
          <w:lang w:eastAsia="pt-BR"/>
        </w:rPr>
        <w:t>Processo n. 0859491-39.2022.8.14.0301</w:t>
      </w:r>
    </w:p>
    <w:p w:rsidR="00283335" w:rsidRDefault="00283335" w:rsidP="0028333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283335" w:rsidRPr="00283335" w:rsidRDefault="00283335" w:rsidP="0028333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  <w:bookmarkStart w:id="0" w:name="_GoBack"/>
      <w:bookmarkEnd w:id="0"/>
    </w:p>
    <w:p w:rsidR="00283335" w:rsidRPr="00283335" w:rsidRDefault="00283335" w:rsidP="0028333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 em Alienação Fiduciária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RCI BRASIL S.A.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ALBERTO SANTOS DA SILVA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>, cujos atos da fase de conhecimento culminaram na prolação de sentença de procedência (ID 113845503), a qual transitou livremente em julgado em 27 de maio de 2024, conforme certidão de ID 116365705.</w:t>
      </w:r>
    </w:p>
    <w:p w:rsidR="00283335" w:rsidRPr="00283335" w:rsidRDefault="00283335" w:rsidP="0028333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em 10 de março de 2025, o patrono da parte autora,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GUSTAVO RODRIGO GÓES NICOLADELI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protocolou petição de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voltada exclusivamente à execução dos honorários advocatícios sucumbenciais que lhe foram arbitrados na fase de conhecimento (ID 138489839), juntando procuração (ID 138489844), demonstrativo de cálculo de atualização monetária no montante de R$ 8.176,91 (ID 138489846), certidão de trânsito em julgado (ID 138489847), cópia da sentença (ID 138489850) e comprovação de citação anterior (ID 138489853).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A Secretaria certificou a apresentação do pedido de cumprimento de sentença e promoveu a conclusão dos autos para análise em 21 de março de 2025 (ID 139444114). 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>Em 23 de setembro de 2025, foi proferido despacho instando as partes a manifestarem interesse em participar da XX Semana Nacional de Conciliação (ID 157345628). Contudo, em 13 de janeiro de 2026, a Secretaria certificou que o referido despacho de convocação não foi publicado a tempo, perdendo a sua finalidade e ensejando nova conclusão para deliberação (ID 165585963).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>Vieram os autos conclusos.</w:t>
      </w:r>
    </w:p>
    <w:p w:rsidR="00283335" w:rsidRPr="00283335" w:rsidRDefault="00283335" w:rsidP="0028333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Compulsando detalhadamente os autos, constata-se que a fase cognitiva desta demanda </w:t>
      </w:r>
      <w:proofErr w:type="gramStart"/>
      <w:r w:rsidRPr="00283335">
        <w:rPr>
          <w:rFonts w:ascii="Arial" w:eastAsia="Times New Roman" w:hAnsi="Arial" w:cs="Arial"/>
          <w:sz w:val="24"/>
          <w:szCs w:val="24"/>
          <w:lang w:eastAsia="pt-BR"/>
        </w:rPr>
        <w:t>encontra-se</w:t>
      </w:r>
      <w:proofErr w:type="gramEnd"/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inteiramente vencida e acobertada pela imutabilidade da coisa julgada material, com trânsito certificado no ID 116365705. Ademais, a regularidade fiscal do processo no que tange às custas da fase de conhecimento foi devidamente atestada pela Unidade de Arrecadação (ID 118257971).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Com efeito, a petição de ID 138489839 inaugura formalmente a fase de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prevista no artigo 513 e seguintes do Código de Processo Civil, tendo por objeto específico a cobrança de honorários advocatícios sucumbenciais fixados em favor do causídico da parte autora (ID 113845503). 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>Desse modo,</w:t>
      </w:r>
      <w:r w:rsidR="0035606F">
        <w:rPr>
          <w:rFonts w:ascii="Arial" w:eastAsia="Times New Roman" w:hAnsi="Arial" w:cs="Arial"/>
          <w:sz w:val="24"/>
          <w:szCs w:val="24"/>
          <w:lang w:eastAsia="pt-BR"/>
        </w:rPr>
        <w:t xml:space="preserve"> considerando o pleito de ID </w:t>
      </w:r>
      <w:proofErr w:type="gramStart"/>
      <w:r w:rsidR="0035606F" w:rsidRPr="00283335">
        <w:rPr>
          <w:rFonts w:ascii="Arial" w:eastAsia="Times New Roman" w:hAnsi="Arial" w:cs="Arial"/>
          <w:sz w:val="24"/>
          <w:szCs w:val="24"/>
          <w:lang w:eastAsia="pt-BR"/>
        </w:rPr>
        <w:t>138489839</w:t>
      </w:r>
      <w:r w:rsidR="0035606F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impõe</w:t>
      </w:r>
      <w:proofErr w:type="gramEnd"/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-se a determinação para que a Secretaria proceda à imediata evolução da classe processual para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passando a figurar no polo ativo o credor dos honorários,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GUSTAVO RODRIGO GÓES NICOLADELI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e no polo passivo o devedor, </w:t>
      </w:r>
      <w:r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ALBERTO SANTOS DA SILVA</w:t>
      </w:r>
      <w:r w:rsidRPr="0028333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83335" w:rsidRPr="00283335" w:rsidRDefault="00283335" w:rsidP="00283335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>Ante o exposto, diante do estado atual do processo e em acolhimento ao requerimento de ID 138489839, determino as seguintes providências:</w:t>
      </w:r>
    </w:p>
    <w:p w:rsidR="00283335" w:rsidRPr="00283335" w:rsidRDefault="0035606F" w:rsidP="0028333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a) D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>etermino</w:t>
      </w:r>
      <w:proofErr w:type="gramEnd"/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que a Secretaria proceda à imediata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evolução da classe processual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deste feito para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de Sentença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no sistema </w:t>
      </w:r>
      <w:proofErr w:type="spellStart"/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retificando-se os registros de autuação para que passem a constar como exequente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GUSTAVO RODRIGO GÓES NICOLADELI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(CPF nº 729.961.619-04) e como executado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 ALBERTO SANTOS DA SILVA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(CPF nº 611.913.882-04);</w:t>
      </w:r>
    </w:p>
    <w:p w:rsidR="00283335" w:rsidRPr="00283335" w:rsidRDefault="0035606F" w:rsidP="0028333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b) A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pós a devida evolução de classe e retificação das partes no sistema,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 a parte executada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por intermédio de seu advogado constituído nos autos (ID 78969332), via Diário da Justiça Eletrônico, nos termos do artigo 513, § 2º, inciso I, do Código de Processo Civil, para que promova o pagamento voluntário do débito apontado no ID 138489846, no valor de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R$ 8.176,91 (oito mil e cento e setenta e seis reais e noventa e um centavos)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devidamente atualizado até a data do efetivo pagamento, no prazo de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283335" w:rsidRPr="00283335" w:rsidRDefault="0035606F" w:rsidP="0028333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c) F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>ica</w:t>
      </w:r>
      <w:proofErr w:type="gramEnd"/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a parte executada advertida de que, transcorrido o prazo de 15 (quinze) dias para pagamento voluntário sem a adimplência do débito, iniciar-se-á, independentemente de nova intimação, o prazo de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 para apresentação de impugnação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nos próprios autos, conforme preconiza o artigo 525, </w:t>
      </w:r>
      <w:r w:rsidR="00283335" w:rsidRPr="0028333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caput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>, do Código de Processo Civil;</w:t>
      </w:r>
    </w:p>
    <w:p w:rsidR="00283335" w:rsidRPr="00283335" w:rsidRDefault="0035606F" w:rsidP="00283335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d) A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>dvirta-se</w:t>
      </w:r>
      <w:proofErr w:type="gramEnd"/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, ainda, que a ausência de pagamento tempestivo ensejará a incidência de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multa de 10% (dez por cento)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e, também, de </w:t>
      </w:r>
      <w:r w:rsidR="00283335" w:rsidRPr="0028333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honorários advocatícios de 10% (dez por cento)</w:t>
      </w:r>
      <w:r w:rsidR="00283335" w:rsidRPr="00283335">
        <w:rPr>
          <w:rFonts w:ascii="Arial" w:eastAsia="Times New Roman" w:hAnsi="Arial" w:cs="Arial"/>
          <w:sz w:val="24"/>
          <w:szCs w:val="24"/>
          <w:lang w:eastAsia="pt-BR"/>
        </w:rPr>
        <w:t xml:space="preserve"> sobre o valor do débito executado, nos moldes do artigo 523, § 1º, do Código de Processo Civil, viabilizando-se a expedição de mandado de penhora e avaliação.</w:t>
      </w:r>
    </w:p>
    <w:p w:rsidR="00283335" w:rsidRPr="00283335" w:rsidRDefault="00283335" w:rsidP="0035606F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83335"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p w:rsidR="007B5610" w:rsidRPr="00283335" w:rsidRDefault="00283335" w:rsidP="00283335">
      <w:pPr>
        <w:spacing w:after="5" w:line="276" w:lineRule="auto"/>
        <w:jc w:val="both"/>
        <w:rPr>
          <w:rFonts w:ascii="Arial" w:hAnsi="Arial" w:cs="Arial"/>
        </w:rPr>
      </w:pPr>
      <w:r w:rsidRPr="00283335">
        <w:rPr>
          <w:rFonts w:ascii="Arial" w:hAnsi="Arial" w:cs="Arial"/>
        </w:rPr>
        <w:tab/>
      </w:r>
    </w:p>
    <w:sectPr w:rsidR="007B5610" w:rsidRPr="00283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335"/>
    <w:rsid w:val="00283335"/>
    <w:rsid w:val="0035606F"/>
    <w:rsid w:val="007B5610"/>
    <w:rsid w:val="00BA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402AE"/>
  <w15:chartTrackingRefBased/>
  <w15:docId w15:val="{6CEA1444-318B-4519-8C8C-7B1C1F18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833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333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83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83335"/>
    <w:rPr>
      <w:b/>
      <w:bCs/>
    </w:rPr>
  </w:style>
  <w:style w:type="character" w:styleId="nfase">
    <w:name w:val="Emphasis"/>
    <w:basedOn w:val="Fontepargpadro"/>
    <w:uiPriority w:val="20"/>
    <w:qFormat/>
    <w:rsid w:val="002833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662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2026-05-20T14:53:00Z</dcterms:created>
  <dcterms:modified xsi:type="dcterms:W3CDTF">2026-05-20T15:07:00Z</dcterms:modified>
</cp:coreProperties>
</file>