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BA8" w:rsidRDefault="003F3BA8" w:rsidP="003F3BA8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>Processo nº: 0911104-64.2023.8.14.0301</w:t>
      </w:r>
    </w:p>
    <w:p w:rsidR="003F3BA8" w:rsidRPr="003F3BA8" w:rsidRDefault="003F3BA8" w:rsidP="003F3BA8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b/>
          <w:sz w:val="24"/>
          <w:szCs w:val="24"/>
          <w:lang w:eastAsia="pt-BR"/>
        </w:rPr>
        <w:t>DECISÃO</w:t>
      </w:r>
    </w:p>
    <w:p w:rsidR="003F3BA8" w:rsidRPr="003F3BA8" w:rsidRDefault="003F3BA8" w:rsidP="003F3BA8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bookmarkStart w:id="0" w:name="_GoBack"/>
      <w:r w:rsidRPr="003F3BA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3F3BA8" w:rsidRPr="003F3BA8" w:rsidRDefault="003F3BA8" w:rsidP="003F3BA8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Trata-se de Arrolamento Sumário dos bens deixados por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ALFREDO CARLOS LIMA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>, falecido em 17/11/2023, conforme certidão de óbito (ID 105897903).</w:t>
      </w:r>
    </w:p>
    <w:p w:rsidR="003F3BA8" w:rsidRPr="003F3BA8" w:rsidRDefault="003F3BA8" w:rsidP="003F3BA8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A Requerente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ETELVINA MARIA SANTOS DA COSTA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, companheira sobrevivente do </w:t>
      </w:r>
      <w:r w:rsidRPr="003F3BA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de cujus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, ajuizou a ação em 11/12/2023 (ID 105897898), comprovando união estável por meio de Escritura Pública (ID 105897919) e Certidão de Casamento Religioso (ID 105897920). O casal não teve filhos. O falecido deixou dois filhos do primeiro casamento: </w:t>
      </w:r>
      <w:r w:rsidR="007043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ALFREDO CARLOS LOUC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ARD LIMA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JOÃO CARLOS LOUCHARD LIMA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>, maiores e capazes.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>O espólio foi composto por dois bens adquiridos na constância da união estável: saldo em conta conjunta no BANPARÁ, de R$266.663,59 (ID 105897916), e um veículo CHEVROLET ONIX PLUS JOY BLACK, ano 2021/2021, avaliado em R$67.789,00 pela Tabela FIPE (ID 105897914). A Requerente atribuiu à causa o valor de R$167.226,29, correspondente à metade ideal dos bens, excluída sua meação.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>Após indeferimento da gratuidade da justiça (ID 106344110), a Inventariante recolheu as custas iniciais parceladamente (</w:t>
      </w:r>
      <w:proofErr w:type="spellStart"/>
      <w:r w:rsidRPr="003F3BA8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107300759 a 107300762; </w:t>
      </w:r>
      <w:proofErr w:type="spellStart"/>
      <w:r w:rsidRPr="003F3BA8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114167658 a 114167481). O Juízo, considerando o valor do espólio inferior ao limite legal e os herdeiros maiores e capazes, converteu o feito ao rito do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Arrolamento Sumário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e nomeou Etelvina como inventariante (ID 116495425). O Termo de Inventariante foi lavrado em 26/06/2024 (ID 118391691). Citados, os herdeiros se habilitaram (ID 120267552).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Em 15/07/2024,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todas as partes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, por seus advogados, apresentaram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Plano de Partilha Amigável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(ID 120273054), requerendo sua homologação e a expedição de alvarás. O plano atribuiu à meeira R$172.146,19 (meação acrescida do reembolso de despesas) e a cada herdeiro R$81.153,19 (após desconto das despesas rateadas).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Sobreveio a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Sentença de 17/07/2024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(ID 120527810), que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homologou a partilha amigável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e determinou a expedição de alvará para venda do veículo e levantamento dos quinhões hereditários, bem como a expedição do formal de partilha após comprovação do pagamento das custas e trânsito em julgado. A 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Inventariante depositou em juízo os valores dos quinhões, totalizando R$162.306,38 (</w:t>
      </w:r>
      <w:proofErr w:type="spellStart"/>
      <w:r w:rsidRPr="003F3BA8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120943180 a 120943183).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Surgiu, contudo, controvérsia sobre o valor da causa, pois a UNAJ entendeu que o valor não correspondia ao conteúdo patrimonial em discussão (ID 123408053). A Inventariante defendeu o valor original (ID 123660659). Após decisão determinando apresentação da relação de débitos (ID 133831741) e certidão de inércia (ID 137223493), a Inventariante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retificou o valor da causa para R$159.846,45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>, excluindo a meação e as dívidas do espólio, conforme planilha de cálculo juntada (</w:t>
      </w:r>
      <w:proofErr w:type="spellStart"/>
      <w:r w:rsidRPr="003F3BA8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147179422 e 147179423).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Seguiu-se despacho que tratou o feito como Cumprimento de Sentença (ID 156028871), o que foi corrigido por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 de 29/09/2025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(ID 157693354), a qual tornou sem efeito o despacho anterior,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homologou a retificação do valor da causa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, determinou a intimação da Fazenda Pública para lançamento do ITCMD e a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expedição dos alvarás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>: dois para levantamento dos quinhões (R$81.153,19 cada) e um para transferência do veículo à Inventariante.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As partes recolheram </w:t>
      </w:r>
      <w:proofErr w:type="gramStart"/>
      <w:r w:rsidRPr="003F3BA8">
        <w:rPr>
          <w:rFonts w:ascii="Arial" w:eastAsia="Times New Roman" w:hAnsi="Arial" w:cs="Arial"/>
          <w:sz w:val="24"/>
          <w:szCs w:val="24"/>
          <w:lang w:eastAsia="pt-BR"/>
        </w:rPr>
        <w:t>as</w:t>
      </w:r>
      <w:proofErr w:type="gramEnd"/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custas de expedição: a Inventariante pagou R$117,61 (</w:t>
      </w:r>
      <w:proofErr w:type="spellStart"/>
      <w:r w:rsidRPr="003F3BA8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160027707 a 160027710) e os herdeiros pagaram R$117,61 cada (</w:t>
      </w:r>
      <w:proofErr w:type="spellStart"/>
      <w:r w:rsidRPr="003F3BA8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160300148 a 160300153). Foram expedidos os alvarás de levantamento (</w:t>
      </w:r>
      <w:proofErr w:type="spellStart"/>
      <w:r w:rsidRPr="003F3BA8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164948506 e 164948507) e o alvará do DETRAN (</w:t>
      </w:r>
      <w:proofErr w:type="spellStart"/>
      <w:r w:rsidRPr="003F3BA8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165716727 e 166028157). Os alvarás de levantamento, porém,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expiraram durante o recesso forense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>, conforme noticiado pela parte (ID 166327485).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Pela Decisão de 02/02/2026 (ID 166796340), foi determinada a expedição de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novos alvarás com atualização monetária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>. Do extrato da subconta (ID 168650826), verifica-se que o saldo evoluiu para R$181.838,77 após correção e estorno dos saques cancelados. Em 27/02/2026, foram expedidos os novos alvarás (</w:t>
      </w:r>
      <w:proofErr w:type="spellStart"/>
      <w:r w:rsidRPr="003F3BA8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170237694 e 170237695), no valor de R$90.919,38 cada. As partes foram intimadas (ID 170240546 e 170240548).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>As custas do formal de partilha foram recolhidas em 16/12/2025 (</w:t>
      </w:r>
      <w:proofErr w:type="spellStart"/>
      <w:r w:rsidRPr="003F3BA8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163399311 e 163399313), no valor de R$2.023,90.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O processo foi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arquivado em 17/03/2026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sem a expedição do formal de partilha.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23/03/2026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, a Inventariante requereu o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desarquivamento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(ID 171752923), informando a descoberta de novos bens do </w:t>
      </w:r>
      <w:r w:rsidRPr="003F3BA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de cujus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: saldo de R$35.378,48 em conta no BRADESCO, Agência 0487, </w:t>
      </w:r>
      <w:proofErr w:type="gramStart"/>
      <w:r w:rsidRPr="003F3BA8">
        <w:rPr>
          <w:rFonts w:ascii="Arial" w:eastAsia="Times New Roman" w:hAnsi="Arial" w:cs="Arial"/>
          <w:sz w:val="24"/>
          <w:szCs w:val="24"/>
          <w:lang w:eastAsia="pt-BR"/>
        </w:rPr>
        <w:t>Conta</w:t>
      </w:r>
      <w:proofErr w:type="gramEnd"/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119911-0, conforme extrato (ID 171752924). Postulou a tramitação de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sobrepartilha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nos próprios autos, a 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expedição de ofício ao banco para obter extrato atualizado e, alternativamente, pesquisa SISBAJUD. Requereu prazo para apresentação do plano aditado e, ao final, homologação e expedição de formal de partilha e alvará.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>É o relatório. DECIDO.</w:t>
      </w:r>
    </w:p>
    <w:p w:rsidR="003F3BA8" w:rsidRPr="003F3BA8" w:rsidRDefault="003F3BA8" w:rsidP="003F3BA8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DA RETOMADA DA MARCHA PROCESSUAL E DO DESARQUIVAMENTO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O arrolamento sumário, regido pelos artigos 659 a 667 do Código de Processo Civil, destina-se à partilha de bens de pequeno valor entre herdeiros maiores e capazes que estejam de acordo. No caso, a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sentença homologatória da partilha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foi proferida em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17/07/2024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(ID 120527810), constituindo título hábil a amparar as providências executórias subsequentes.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O artigo 659, §2º, do CPC determina que, homologada a partilha, o juiz intime a Fazenda Pública para lançamento do ITCMD e, após o trânsito em julgado, expeça o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formal de partilha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>. A tramitação do feito após a sentença demonstra que as partes cumpriram todas as exigências: recolheram custas, compareceram aos autos e deram andamento às providências determinadas.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O arquivamento ocorrido em 17/03/2026 revela-se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prematuro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, porquanto remanesce pendente a expedição do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formal de partilha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, cujas custas já foram integralmente recolhidas (ID 163399313). Ademais, sobreveio notícia de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bens descobertos após a partilha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, a atrair a incidência do instituto da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sobrepartilha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>, previsto no artigo 669, II, do CPC, que determina que os bens coligidos após a partilha fiquem sujeitos a esse procedimento complementar.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Dessa forma, impõe-se o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desarquivamento dos autos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e a retomada da marcha processual para ultimação das providências pendentes.</w:t>
      </w:r>
    </w:p>
    <w:p w:rsidR="003F3BA8" w:rsidRPr="003F3BA8" w:rsidRDefault="003F3BA8" w:rsidP="003F3BA8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DA EXPEDIÇÃO DO FORMAL DE PARTILHA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A sentença de homologação (ID 120527810) condicionou a expedição do formal de partilha ao trânsito em julgado e ao pagamento das custas. A decisão de 29/09/2025 (ID 157693354) reiterou esse comando. As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custas foram recolhidas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3F3BA8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163399311 e 163399313).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Quanto ao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trânsito em julgado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da decisão de 29/09/2025, constata-se que: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a) A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Inventariante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renunciou expressamente ao prazo recursal (ID 159141852);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3F3BA8">
        <w:rPr>
          <w:rFonts w:ascii="Arial" w:eastAsia="Times New Roman" w:hAnsi="Arial" w:cs="Arial"/>
          <w:sz w:val="24"/>
          <w:szCs w:val="24"/>
          <w:lang w:eastAsia="pt-BR"/>
        </w:rPr>
        <w:t>b) Os</w:t>
      </w:r>
      <w:proofErr w:type="gramEnd"/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herdeiros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tomaram ciência e requereram o prosseguimento (ID 159043481). Embora não tenham formalmente renunciado ao prazo, decorreu o lapso legal sem interposição de recurso.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Assim, certificado o trânsito em julgado e intimada a Fazenda Pública Estadual para o lançamento do ITCMD, resta expedir o formal de partilha referente aos bens descritos no plano homologado (ID 120273054): conta BANPARÁ e veículo ONIX.</w:t>
      </w:r>
    </w:p>
    <w:p w:rsidR="003F3BA8" w:rsidRPr="003F3BA8" w:rsidRDefault="003F3BA8" w:rsidP="003F3BA8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4. DA SOBREPARTILHA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O artigo 669, II, do CPC estabelece que ficam sujeitos a sobrepartilha os bens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coligidos após a partilha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. O artigo 670 do mesmo diploma autoriza que a sobrepartilha tramite nos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próprios autos do inventário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>, medida que atende aos princípios da economia processual e da duração razoável do processo.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No caso, a Inventariante trouxe aos autos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extrato bancário do BRADESCO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(ID 171752924), datado de 31/07/2025, que demonstra a existência de conta de titularidade do </w:t>
      </w:r>
      <w:r w:rsidRPr="003F3BA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de cujus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(Conta Fácil nº 119911-0, Agência 0487), com saldo de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R$35.378,48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>. Trata-se de bem não contemplado no plano de partilha homologado, cuja existência foi descoberta apenas recentemente, configurando hipótese legal de sobrepartilha.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>Para a correta apuração do valor atualizado e a subsequente partilha, é necessário oficiar a instituição financeira para que forneça o extrato atualizado da referida conta, com a posição mais recente do saldo.</w:t>
      </w:r>
    </w:p>
    <w:p w:rsidR="003F3BA8" w:rsidRPr="003F3BA8" w:rsidRDefault="007043FD" w:rsidP="003F3BA8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5</w:t>
      </w:r>
      <w:r w:rsidR="003F3BA8" w:rsidRPr="003F3BA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. DISPOSITIVO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com fundamento nos artigos 659, §2º, 669, II, e 670 do Código de Processo Civil,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DECIDO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o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desarquivamento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imediato dos autos, retomando-se a marcha processual para ultimação das providências pendentes;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que a Secretaria certifique o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trânsito em julgado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da Decisão de 29/09/2025 (ID 157693354), considerando a renúncia da Inventariante (ID 159141852) e o decurso do prazo sem interposição de recurso pelos herdeiros (ID 159043481);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a intimação da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Fazenda Pública Estadual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para que proceda ao lançamento administrativo do ITCMD incidente sobre os quinhões hereditários, nos termos do plano de partilha homologado (ID 120273054) e confirmado pela Decisão de 29/09/2025;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d)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, após a intimação da Fazenda e certificação do trânsito em julgado, a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expedição do Formal de Partilha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referente aos bens constantes do plano homologado (saldo em conta BANPARÁ e veículo CHEVROLET ONIX);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e)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o pedido de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ofício ao Banco BRADESCO S.A.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, determinando que a instituição financeira apresente, no prazo de 15 (quinze) dias, extrato atualizado da Conta Fácil nº 119911-0, Agência 0487 (Marajó-UBE), de titularidade de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ALFREDO CARLOS LIMA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(CPF 029.781.642-04), com a posição do saldo na data mais recente disponível. O ofício deverá consignar que as informações se destinam a instruir procedimento de sobrepartilha nos autos do Arrolamento Sumário nº 0911104-64.2023.8.14.0301, em trâmite na 11ª Vara Cível e Empresarial de Belém/PA;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3F3BA8">
        <w:rPr>
          <w:rFonts w:ascii="Arial" w:eastAsia="Times New Roman" w:hAnsi="Arial" w:cs="Arial"/>
          <w:sz w:val="24"/>
          <w:szCs w:val="24"/>
          <w:lang w:eastAsia="pt-BR"/>
        </w:rPr>
        <w:t>f) Após</w:t>
      </w:r>
      <w:proofErr w:type="gramEnd"/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a juntada do extrato atualizado,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intimem-se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a Inventariante e os herdeiros para, querendo, apresentarem </w:t>
      </w:r>
      <w:r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plano de sobrepartilha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no prazo comum de 15 (quinze) dias, nos termos do artigo 670, </w:t>
      </w:r>
      <w:r w:rsidRPr="003F3BA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caput</w:t>
      </w:r>
      <w:r w:rsidRPr="003F3BA8">
        <w:rPr>
          <w:rFonts w:ascii="Arial" w:eastAsia="Times New Roman" w:hAnsi="Arial" w:cs="Arial"/>
          <w:sz w:val="24"/>
          <w:szCs w:val="24"/>
          <w:lang w:eastAsia="pt-BR"/>
        </w:rPr>
        <w:t>, do CPC;</w:t>
      </w:r>
    </w:p>
    <w:p w:rsidR="003F3BA8" w:rsidRPr="003F3BA8" w:rsidRDefault="007043FD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g</w:t>
      </w:r>
      <w:r w:rsidR="003F3BA8" w:rsidRPr="003F3BA8">
        <w:rPr>
          <w:rFonts w:ascii="Arial" w:eastAsia="Times New Roman" w:hAnsi="Arial" w:cs="Arial"/>
          <w:sz w:val="24"/>
          <w:szCs w:val="24"/>
          <w:lang w:eastAsia="pt-BR"/>
        </w:rPr>
        <w:t>) Apresentado</w:t>
      </w:r>
      <w:proofErr w:type="gramEnd"/>
      <w:r w:rsidR="003F3BA8"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o plano de sobrepartilha, </w:t>
      </w:r>
      <w:r w:rsidR="003F3BA8"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intime-se a Fazenda Pública Estadual</w:t>
      </w:r>
      <w:r w:rsidR="003F3BA8"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para manifestação sobre o ITCMD incidente sobre os novos bens, retornando conclusos para </w:t>
      </w:r>
      <w:r w:rsidR="003F3BA8"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homologação</w:t>
      </w:r>
      <w:r w:rsidR="003F3BA8" w:rsidRPr="003F3BA8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3F3BA8" w:rsidRPr="003F3BA8" w:rsidRDefault="007043FD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h</w:t>
      </w:r>
      <w:r w:rsidR="003F3BA8"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) </w:t>
      </w:r>
      <w:r w:rsidR="003F3BA8" w:rsidRPr="003F3BA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="003F3BA8" w:rsidRPr="003F3BA8">
        <w:rPr>
          <w:rFonts w:ascii="Arial" w:eastAsia="Times New Roman" w:hAnsi="Arial" w:cs="Arial"/>
          <w:sz w:val="24"/>
          <w:szCs w:val="24"/>
          <w:lang w:eastAsia="pt-BR"/>
        </w:rPr>
        <w:t xml:space="preserve"> que a Secretaria da Vara acompanhe o cumprimento das providências ora determinadas e zele pela celeridade do feito, evitando novo arquivamento prematuro.</w:t>
      </w:r>
    </w:p>
    <w:p w:rsidR="003F3BA8" w:rsidRPr="003F3BA8" w:rsidRDefault="003F3BA8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3BA8">
        <w:rPr>
          <w:rFonts w:ascii="Arial" w:eastAsia="Times New Roman" w:hAnsi="Arial" w:cs="Arial"/>
          <w:sz w:val="24"/>
          <w:szCs w:val="24"/>
          <w:lang w:eastAsia="pt-BR"/>
        </w:rPr>
        <w:t>Publique-se. Registre-se. Intimem-se.</w:t>
      </w:r>
    </w:p>
    <w:p w:rsidR="003F3BA8" w:rsidRPr="003F3BA8" w:rsidRDefault="007043FD" w:rsidP="007043F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Cumpra-se.</w:t>
      </w:r>
    </w:p>
    <w:bookmarkEnd w:id="0"/>
    <w:p w:rsidR="00226EEF" w:rsidRPr="003F3BA8" w:rsidRDefault="00226EEF" w:rsidP="003F3BA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226EEF" w:rsidRPr="003F3B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BA8"/>
    <w:rsid w:val="00226EEF"/>
    <w:rsid w:val="003F3BA8"/>
    <w:rsid w:val="0070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481ED"/>
  <w15:chartTrackingRefBased/>
  <w15:docId w15:val="{8045A058-5DCB-4A0B-ABD2-0DCD4C9EB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F3B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3BA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F3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F3BA8"/>
    <w:rPr>
      <w:b/>
      <w:bCs/>
    </w:rPr>
  </w:style>
  <w:style w:type="character" w:styleId="nfase">
    <w:name w:val="Emphasis"/>
    <w:basedOn w:val="Fontepargpadro"/>
    <w:uiPriority w:val="20"/>
    <w:qFormat/>
    <w:rsid w:val="003F3B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1550</Words>
  <Characters>8376</Characters>
  <Application>Microsoft Office Word</Application>
  <DocSecurity>0</DocSecurity>
  <Lines>69</Lines>
  <Paragraphs>19</Paragraphs>
  <ScaleCrop>false</ScaleCrop>
  <Company/>
  <LinksUpToDate>false</LinksUpToDate>
  <CharactersWithSpaces>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2026-07-03T13:46:00Z</dcterms:created>
  <dcterms:modified xsi:type="dcterms:W3CDTF">2026-07-03T14:04:00Z</dcterms:modified>
</cp:coreProperties>
</file>