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802E92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0030671-87.2015.8.14.0301</w:t>
      </w:r>
    </w:p>
    <w:bookmarkEnd w:id="0"/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DECISÃO DOS EMBARGOS DE DELCARAÇÃO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02E9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Indenização por Danos Morais e Estéticos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LIZETE DA SILVA CORDEIRO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PROCTO GASTRO DIAGNÓSTICO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DANIEL WILLIAM SKELDING PINHEIRO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, em virtude de suposto erro médico ocorrido em procedimento de endoscopia com dilatação em 2013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40018873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>O feito tramita desde 2015. Houve citação e oferta de contestação por ambos os réus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40019177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40019493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). O processo foi saneado em 12/09/2018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40019519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), oportunidade em que se fixaram os pontos controvertidos, determinou-se a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inversão do ônus da prova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com base no Código de Defesa do Consumidor e deferiu-se a produção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prova pericial indireta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(documental).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Desde então, o processo enfrenta sucessivas dificuldades para a realização da perícia. Diferentes profissionais nomeados declinaram do encargo ou não se manifestaram. A decisão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158122717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, proferida em 02/10/2025, nomeou o perito Bruno Lima Sanches e determinou que os réus adiantassem os honorários periciais.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Contra essa decisão, os réus opuseram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de Declaração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158887609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), arguindo omissão e erro quanto ao ônus financeiro da prova, sustentando que a inversão do ônus da prova não obriga a parte contrária a pagar pela perícia requerida pela autora, especialmente sendo esta beneficiária da justiça gratuita.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Instada a se manifestar sobre os embargos, a parte autora permaneceu em silêncio, conforme certidão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171443753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, datada de 19/03/2026.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>Vieram os autos conclusos para decisão.</w:t>
      </w:r>
    </w:p>
    <w:p w:rsidR="00802E92" w:rsidRPr="00802E92" w:rsidRDefault="00802E92" w:rsidP="00802E9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802E92" w:rsidRPr="00802E92" w:rsidRDefault="00802E92" w:rsidP="00802E9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Dos Embargos de Declaração (ID 158887609)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Os embargos são tempestivos e merecem acolhimento. A decisão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158122717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de fato atribuiu aos réus o ônus de adiantar os honorários periciais baseando-se apenas na inversão do ônus da prova.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Ocorre que, conforme pacificado pelo Superior Tribunal de Justiça (STJ), a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inversão do ônus da prova (art. 6º, VIII, do CDC)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não implica, por si só, na transferência do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ônus financeiro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do custeio da prova. A regra de custeio segue o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95 do Código de Processo Civil (CPC)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: a remuneração do perito será adiantada pela parte que houver requerido a perícia.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>No caso dos autos, a perícia foi requerida pela autora na inicial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40018873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) e reforçada em réplica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40019517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). Sendo a autora beneficiária da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justiça gratuita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(concedida no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40019174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), os honorários periciais devem ser custeados pelo Estado ou pelo fundo próprio do Tribunal, conforme o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95, § 3º, do CPC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e as normativas do CNJ.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Assim,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 os embargos de declaração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para sanar a contradição e determinar que o pagamento dos honorários periciais observe o regime da gratuidade de justiça.</w:t>
      </w:r>
    </w:p>
    <w:p w:rsidR="00802E92" w:rsidRPr="00802E92" w:rsidRDefault="00802E92" w:rsidP="00802E92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Longa Tramitação e da Necessidade de Impulso Eficaz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Este processo completa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onze anos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de tramitação desde o fato (2013) 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nove anos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desde o ajuizamento (2015). A demora na realização da prova pericial está prejudicando a prestação jurisdicional e a própria utilidade do provimento.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O processo não pode permanecer em estado de letargia indefinida aguardando a aceitação de peritos ou a providência de documentos. A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razoável duração do processo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(art. 5º, LXXVIII, da CF) é um dever tanto do juízo quanto das partes, que devem cooperar para o desfecho da lide (art. 6º do CPC).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>Verifico que a autora, apesar de alegar graves sequelas, não demonstrou o zelo esperado na movimentação do feito recentemente, inclusive silenciando diante de atos ordinatórios e dos embargos dos réus.</w:t>
      </w:r>
    </w:p>
    <w:p w:rsidR="00802E92" w:rsidRPr="00802E92" w:rsidRDefault="00802E92" w:rsidP="00802E92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DECISÃO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>Diante do exposto: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3.1. ACOLHO OS EMBARGOS DE DECLARAÇÃO (ID 158887609)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, conferindo-lhes efeitos infringentes, para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REVOGAR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o item da decisão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158122717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que determinava o adiantamento dos honorários pelos réus. </w:t>
      </w:r>
    </w:p>
    <w:p w:rsidR="00802E92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3.2. REIFERO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a nomeação do perito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Bruno Lima Sanches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802E92">
        <w:rPr>
          <w:rFonts w:ascii="Arial" w:eastAsia="Times New Roman" w:hAnsi="Arial" w:cs="Arial"/>
          <w:sz w:val="24"/>
          <w:szCs w:val="24"/>
          <w:lang w:eastAsia="pt-BR"/>
        </w:rPr>
        <w:t>Intime-se-o</w:t>
      </w:r>
      <w:proofErr w:type="spellEnd"/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novamente para dizer se aceita o encargo, ciente de que os honorários serão pagos pelo Tribunal de Justiça do Estado do Pará, nos termos da Portaria 1657/2020-GP, em razão da gratuidade deferida à autora.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3.3. </w:t>
      </w:r>
      <w:proofErr w:type="gramStart"/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À</w:t>
      </w:r>
      <w:proofErr w:type="gramEnd"/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PARTE AUTORA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que, no prazo improrrogável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, junte aos autos quaisquer documentos médicos, exames, laudos ou prontuários que ainda não constem no processo e que pretenda submeter à análise pericial.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3.4. DETERMINO AO HOSPITAL PORTO DIAS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, via mandado, que no prazo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, encaminhe a este juízo cópia integral e legível do prontuário médico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LIZETE DA SILVA CORDEIRO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, referente aos atendimentos iniciados em dezembro de 2013, sob pena de busca e apreensão e crime de desobediência.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3.5. ADVERTÊNCIA SOBRE PRECLUSÃO E EXTINÇÃO: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br/>
        <w:t>Ficam as partes advertidas de que, caso a perícia reste prejudicada por falta de documentos ou por inércia da parte autora em fornecer subsídios, o feito será julgado no estado em que se encontra (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julgamento antecipado do mérito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>, art. 355, I, CPC), arcando a parte que detém o ônus probatório com as consequências de sua omissão.</w:t>
      </w:r>
    </w:p>
    <w:p w:rsidR="00802E92" w:rsidRPr="00802E92" w:rsidRDefault="00802E92" w:rsidP="00802E92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3.6.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Caso a autora permaneça inerte por mais de 30 (trinta) dias quanto a qualquer diligência que lhe caiba, proceda-se à sua intimação pessoal para suprir 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falta em 5 (cinco) dias, sob pena de </w:t>
      </w:r>
      <w:r w:rsidRPr="00802E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do processo sem resolução de mérito por abandono</w:t>
      </w:r>
      <w:r w:rsidRPr="00802E92">
        <w:rPr>
          <w:rFonts w:ascii="Arial" w:eastAsia="Times New Roman" w:hAnsi="Arial" w:cs="Arial"/>
          <w:sz w:val="24"/>
          <w:szCs w:val="24"/>
          <w:lang w:eastAsia="pt-BR"/>
        </w:rPr>
        <w:t xml:space="preserve"> (art. 485, III e § 1º, do CPC).</w:t>
      </w:r>
    </w:p>
    <w:p w:rsidR="001A34BE" w:rsidRPr="00802E92" w:rsidRDefault="00802E92" w:rsidP="00802E92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02E92">
        <w:rPr>
          <w:rFonts w:ascii="Arial" w:eastAsia="Times New Roman" w:hAnsi="Arial" w:cs="Arial"/>
          <w:sz w:val="24"/>
          <w:szCs w:val="24"/>
          <w:lang w:eastAsia="pt-BR"/>
        </w:rPr>
        <w:t>Cumpra-se com a urgência que o caso requer.</w:t>
      </w:r>
    </w:p>
    <w:sectPr w:rsidR="001A34BE" w:rsidRPr="00802E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E92"/>
    <w:rsid w:val="001A34BE"/>
    <w:rsid w:val="0080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E4223"/>
  <w15:chartTrackingRefBased/>
  <w15:docId w15:val="{71A3BD5A-F24A-4E06-AAEE-00279EC4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02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02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E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02E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2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02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810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2026-05-01T23:38:00Z</dcterms:created>
  <dcterms:modified xsi:type="dcterms:W3CDTF">2026-05-01T23:43:00Z</dcterms:modified>
</cp:coreProperties>
</file>