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2F102E">
        <w:rPr>
          <w:rFonts w:ascii="Arial" w:eastAsia="Times New Roman" w:hAnsi="Arial" w:cs="Arial"/>
          <w:bCs/>
          <w:sz w:val="24"/>
          <w:szCs w:val="24"/>
          <w:lang w:eastAsia="pt-BR"/>
        </w:rPr>
        <w:t>Processo nº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0016749-08.2017.8.14.0301</w:t>
      </w:r>
    </w:p>
    <w:bookmarkEnd w:id="0"/>
    <w:p w:rsidR="002F102E" w:rsidRPr="002F102E" w:rsidRDefault="002F102E" w:rsidP="002F102E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</w:t>
      </w:r>
    </w:p>
    <w:p w:rsidR="002F102E" w:rsidRPr="002F102E" w:rsidRDefault="002F102E" w:rsidP="002F102E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EXECUÇÃO DE TÍTULO EXTRAJUDICIAL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ajuizada por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LIDER COMERCIO E INDUSTRIA LTDA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FOX VIDEO LTDA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ANNA DEBORAH DE MIRANDA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MARCOS ELIZIO ELUAN LIMA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>, todos devidamente qualificados nos autos. A presente ação foi inicialmente distribuída em 24 de março de 2017, tendo como base o inadimplemento de um "Instrumento Particular de Confissão de Dívida com Distrato do Contrato de Locação Não Residencial", firmado em 07 de junho de 2016 (ID 143623790), cujo valor executado à época era de R$ 30.931,30 (trinta mil, novecentos e trinta e um reais e trinta centavos), conforme exposto na petição inicial (ID 143614134).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Após o despacho inicial que determinou a citação dos executados para pagamento (ID 143623791, pág. 2), foram expedidos os respectivos mandados. As certidões dos oficiais de justiça confirmam a citação de todos os executados (ID 143623792, </w:t>
      </w:r>
      <w:proofErr w:type="spellStart"/>
      <w:r w:rsidRPr="002F102E">
        <w:rPr>
          <w:rFonts w:ascii="Arial" w:eastAsia="Times New Roman" w:hAnsi="Arial" w:cs="Arial"/>
          <w:sz w:val="24"/>
          <w:szCs w:val="24"/>
          <w:lang w:eastAsia="pt-BR"/>
        </w:rPr>
        <w:t>pgs</w:t>
      </w:r>
      <w:proofErr w:type="spellEnd"/>
      <w:r w:rsidRPr="002F102E">
        <w:rPr>
          <w:rFonts w:ascii="Arial" w:eastAsia="Times New Roman" w:hAnsi="Arial" w:cs="Arial"/>
          <w:sz w:val="24"/>
          <w:szCs w:val="24"/>
          <w:lang w:eastAsia="pt-BR"/>
        </w:rPr>
        <w:t>. 1, 4 e 7), que, no entanto, não efetuaram o pagamento do débito nem apresentaram embargos à execução no prazo legal.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Em petição datada de 18 de julho de 2017 (ID 143623793), a parte exequente informou a celebração de um novo acordo com os executados, firmado em 27 de junho de 2017, para a quitação da dívida. Naquela oportunidade, requereu a suspensão do processo até o cumprimento integral da avença, cujo término estava previsto para 23 de novembro de 2018. O referido acordo, no valor total de R$ 28.990,00, foi anexado aos autos (ID 143623793, </w:t>
      </w:r>
      <w:proofErr w:type="spellStart"/>
      <w:r w:rsidRPr="002F102E">
        <w:rPr>
          <w:rFonts w:ascii="Arial" w:eastAsia="Times New Roman" w:hAnsi="Arial" w:cs="Arial"/>
          <w:sz w:val="24"/>
          <w:szCs w:val="24"/>
          <w:lang w:eastAsia="pt-BR"/>
        </w:rPr>
        <w:t>pgs</w:t>
      </w:r>
      <w:proofErr w:type="spellEnd"/>
      <w:r w:rsidRPr="002F102E">
        <w:rPr>
          <w:rFonts w:ascii="Arial" w:eastAsia="Times New Roman" w:hAnsi="Arial" w:cs="Arial"/>
          <w:sz w:val="24"/>
          <w:szCs w:val="24"/>
          <w:lang w:eastAsia="pt-BR"/>
        </w:rPr>
        <w:t>. 2-4).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Este Juízo, por meio de despacho (ID 143623793, pág. 7), deferiu o pedido e determinou a suspensão do feito nos termos do artigo 922 do Código de Processo Civil.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Decorrido o prazo de suspensão sem manifestação da parte exequente, conforme certidão de 06 de agosto de 2018 (ID 143623794, pág. 1), foi proferido despacho em 08 de agosto de 2018, determinando o arquivamento provisório dos autos (ID 143623794, pág. 3).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O processo permaneceu arquivado até que, em 03 de julho de 2025, a parte exequente protocolou a petição de ID 147693681, informando o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descumprimento integral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do acordo celebrado em 2017. Alegou que nenhuma das 16 (dezesseis) parcelas pactuadas foi paga pelos executados. Diante do inadimplemento, requereu o prosseguimento da execução, apresentando memorial de cálculo atualizado (ID 147693685) que aponta um débito de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R$ 101.524,00 (cento e um mil, quinhentos e vinte e quatro reais)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>. Pleiteou, ainda, a realização de penhora de ativos financeiros via sistema SISBAJUD, na modalidade "teimosinha", a penhora de investimentos e, subsidiariamente, a penhora de 30% do salário dos executados.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Após a digitalização do processo e sua migração para o sistema </w:t>
      </w:r>
      <w:proofErr w:type="spellStart"/>
      <w:r w:rsidRPr="002F102E">
        <w:rPr>
          <w:rFonts w:ascii="Arial" w:eastAsia="Times New Roman" w:hAnsi="Arial" w:cs="Arial"/>
          <w:sz w:val="24"/>
          <w:szCs w:val="24"/>
          <w:lang w:eastAsia="pt-BR"/>
        </w:rPr>
        <w:t>PJe</w:t>
      </w:r>
      <w:proofErr w:type="spellEnd"/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, as partes foram intimadas por meio de Ato Ordinatório (ID 154854967). Os avisos de recebimento das intimações dos executados Marcos </w:t>
      </w:r>
      <w:proofErr w:type="spellStart"/>
      <w:r w:rsidRPr="002F102E">
        <w:rPr>
          <w:rFonts w:ascii="Arial" w:eastAsia="Times New Roman" w:hAnsi="Arial" w:cs="Arial"/>
          <w:sz w:val="24"/>
          <w:szCs w:val="24"/>
          <w:lang w:eastAsia="pt-BR"/>
        </w:rPr>
        <w:t>Elizio</w:t>
      </w:r>
      <w:proofErr w:type="spellEnd"/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2F102E">
        <w:rPr>
          <w:rFonts w:ascii="Arial" w:eastAsia="Times New Roman" w:hAnsi="Arial" w:cs="Arial"/>
          <w:sz w:val="24"/>
          <w:szCs w:val="24"/>
          <w:lang w:eastAsia="pt-BR"/>
        </w:rPr>
        <w:t>Eluan</w:t>
      </w:r>
      <w:proofErr w:type="spellEnd"/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Lima e Anna 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Deborah de Miranda retornaram com a informação "Mudou-se" (</w:t>
      </w:r>
      <w:proofErr w:type="spellStart"/>
      <w:r w:rsidRPr="002F102E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156457656 e 156457658).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Em 19 de setembro de 2025, a parte exequente reiterou seu pedido de prosseguimento da execução (ID 157153903).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A Secretaria da 2ª UPJ certificou, em 27 de janeiro de 2026, que os autos estavam prontos para análise judicial (ID 166502068).</w:t>
      </w:r>
    </w:p>
    <w:p w:rsidR="002F102E" w:rsidRPr="002F102E" w:rsidRDefault="002F102E" w:rsidP="002F102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É o sucinto relatório.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Decido.</w:t>
      </w:r>
    </w:p>
    <w:p w:rsidR="002F102E" w:rsidRPr="002F102E" w:rsidRDefault="002F102E" w:rsidP="002F102E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2F102E" w:rsidRPr="002F102E" w:rsidRDefault="002F102E" w:rsidP="002F102E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Do prosseguimento da execução em face do descumprimento do acordo</w:t>
      </w:r>
    </w:p>
    <w:p w:rsidR="002F102E" w:rsidRPr="002F102E" w:rsidRDefault="002F102E" w:rsidP="002F102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A questão central a ser decidida neste momento processual é o pedido da parte exequente para retomada dos atos executivos, em virtude do noticiado descumprimento do acordo judicial que ensejou a suspensão do feito.</w:t>
      </w:r>
    </w:p>
    <w:p w:rsidR="002F102E" w:rsidRPr="002F102E" w:rsidRDefault="002F102E" w:rsidP="002F102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O artigo 922 do Código de Processo Civil estabelece que, havendo convenção entre as partes para o cumprimento voluntário da obrigação, o juiz declarará a suspensão do processo de execução durante o prazo concedido pelo credor para que o devedor cumpra a obrigação. O parágrafo único do mesmo dispositivo legal é categórico ao prever a consequência do inadimplemento: "</w:t>
      </w:r>
      <w:r w:rsidRPr="002F102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Findo o prazo sem cumprimento da obrigação, o processo retomará o seu curso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>".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No caso em análise, as partes firmaram um acordo em 27 de junho de 2017 (ID 143623793), o qual foi devidamente noticiado nos autos, levando à suspensão do processo por decisão deste Juízo. A parte exequente, agora, alega o descumprimento total e absoluto da referida transação, requerendo o prosseguimento da execução.</w:t>
      </w:r>
    </w:p>
    <w:p w:rsidR="002F102E" w:rsidRPr="002F102E" w:rsidRDefault="002F102E" w:rsidP="002F102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A suspensão do processo para cumprimento de acordo não extingue a execução, mas apenas a coloca em um estado de latência, aguardando a satisfação do crédito. Uma vez constatado o inadimplemento, como alegado pela exequente na petição de ID 147693681, o impulso processual deve ser retomado, exatamente do ponto em que foi paralisado, para que o Estado-Juiz possa promover os atos de coerção patrimonial necessários à satisfação do direito do credor.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O arquivamento anterior dos autos (ID 143623794, pág. 3) configurou-se como uma medida de natureza meramente administrativa, motivada pela inércia da parte em informar o desfecho do acordo ao final do prazo de suspensão. Tal ato não implica em extinção do processo ou do direito de crédito, podendo a execução ser reativada a qualquer momento mediante provocação do interessado, como ocorreu no presente caso.</w:t>
      </w:r>
    </w:p>
    <w:p w:rsidR="002F102E" w:rsidRPr="002F102E" w:rsidRDefault="002F102E" w:rsidP="002F102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Portanto, o pedido de retomada do curso da execução é juridicamente cabível e deve ser acolhido, passando-se à análise das medidas executivas requeridas.</w:t>
      </w:r>
    </w:p>
    <w:p w:rsidR="002F102E" w:rsidRPr="002F102E" w:rsidRDefault="002F102E" w:rsidP="002F102E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2.2. Da atualização do débito e da aplicação da cláusula penal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A exequente apresentou um memorial de cálculo atualizado (ID 147693685), que totaliza a quantia de R$ 101.524,00. Este valor, segundo a planilha, contempla o principal, correção monetária, juros moratórios e a aplicação de uma multa de 10% sobre o valor total do acordo descumprido.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O "Instrumento Particular de Confissão de Dívida e Parcelamento de Dívida" (ID 147693684), que fundamenta o pedido de prosseguimento, prevê expressamente em seu "Parágrafo Primeiro" as consequências do inadimplemento:</w:t>
      </w:r>
    </w:p>
    <w:p w:rsidR="002F102E" w:rsidRPr="002F102E" w:rsidRDefault="002F102E" w:rsidP="002F102E">
      <w:pPr>
        <w:spacing w:after="0" w:line="240" w:lineRule="auto"/>
        <w:jc w:val="both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"O descumprimento de qualquer das parcelas ou atraso no pagamento, ensejará vencimento das parcelas futuras, incidindo sobre o valor total remanescente a pagar, multa moratória de 10%(dez por cento), juros de 1%(um por cento) ao mês e correção monetária a ser calculada pelo IGP-M, tornando o presente instrumento título executivo." </w:t>
      </w:r>
    </w:p>
    <w:p w:rsidR="002F102E" w:rsidRPr="002F102E" w:rsidRDefault="002F102E" w:rsidP="002F102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A cláusula penal, pactuada livremente entre as partes, possui plena validade e eficácia. Diante da alegação de inadimplemento integral, a incidência da multa, bem como dos juros e da correção monetária sobre o saldo devedor, é medida que se impõe, em respeito ao princípio do </w:t>
      </w:r>
      <w:r w:rsidRPr="002F102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pacta sunt servanda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F102E" w:rsidRPr="002F102E" w:rsidRDefault="002F102E" w:rsidP="002F102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Assim, a execução deverá prosseguir com base no valor atualizado apresentado pela parte exequente, ressalvando-se, contudo, que tal montante poderá ser objeto de posterior impugnação pelos executados, por meio do instrumento processual adequado, caso entendam haver excesso de execução. Por ora, o valor indicado na planilha de ID 147693685 servirá de parâmetro para os atos constritivos.</w:t>
      </w:r>
    </w:p>
    <w:p w:rsidR="002F102E" w:rsidRPr="002F102E" w:rsidRDefault="002F102E" w:rsidP="002F102E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 Das medidas coercitivas pleiteadas</w:t>
      </w:r>
    </w:p>
    <w:p w:rsidR="002F102E" w:rsidRPr="002F102E" w:rsidRDefault="002F102E" w:rsidP="002F102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A exequente requer a utilização do sistema SISBAJUD para a penhora de ativos financeiros, incluindo a modalidade "teimosinha" e a busca por investimentos.</w:t>
      </w:r>
    </w:p>
    <w:p w:rsidR="002F102E" w:rsidRPr="002F102E" w:rsidRDefault="002F102E" w:rsidP="002F102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O artigo 835, inciso I, do Código de Processo Civil, estabelece que o dinheiro, em espécie ou em depósito ou aplicação em instituição financeira, ocupa o primeiro lugar na ordem preferencial de penhora. Trata-se do bem de maior liquidez, cuja constrição atende de forma mais célere e eficaz à finalidade da execução.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Nesse sentido, o artigo 854 do mesmo diploma legal regulamenta especificamente o procedimento de penhora eletrônica de dinheiro em depósito ou aplicação financeira. A utilização do sistema SISBAJUD, gerenciado pelo Conselho Nacional de Justiça (CNJ), é a ferramenta padrão para a efetivação dessa medida, garantindo agilidade e eficiência.</w:t>
      </w:r>
    </w:p>
    <w:p w:rsidR="002F102E" w:rsidRPr="002F102E" w:rsidRDefault="002F102E" w:rsidP="002F102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O requerimento para ativação da funcionalidade de reiteração automática de ordens de bloqueio, conhecida como "teimosinha", também se mostra pertinente. Tal mecanismo aumenta a probabilidade de satisfação do crédito, ao permitir que a ordem de bloqueio permaneça ativa por um 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determinado período, alcançando valores que venham a ingressar nas contas dos executados. A busca por ativos em corretoras e distribuidoras de títulos e valores mobiliários também é uma funcionalidade disponível e adequada ao caso.</w:t>
      </w:r>
    </w:p>
    <w:p w:rsidR="002F102E" w:rsidRPr="002F102E" w:rsidRDefault="002F102E" w:rsidP="002F102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Diante do exposto, o pedido de penhora </w:t>
      </w:r>
      <w:r w:rsidRPr="002F102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online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por meio do sistema SISBAJUD, com a ativação da "teimosinha" e a busca por investimentos, deve ser deferido como medida prioritária para a satisfação do crédito.</w:t>
      </w:r>
    </w:p>
    <w:p w:rsidR="002F102E" w:rsidRPr="002F102E" w:rsidRDefault="002F102E" w:rsidP="002F102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Quanto ao pedido subsidiário de penhora sobre 30% do salário dos executados, verifico que sua análise é prematura. Embora o Superior Tribunal de Justiça tenha relativizado a regra de impenhorabilidade salarial em situações excepcionais, tal medida possui caráter subsidiário e excepcional. Somente após a tentativa frustrada de localização de outros bens penhoráveis, especialmente ativos financeiros de maior liquidez, é que se poderá deliberar sobre a viabilidade e a adequação da penhora de verbas de natureza salarial. Portanto, a análise deste pedido fica postergada para momento oportuno, após a resposta das consultas via SISBAJUD.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Por fim, observo que os avisos de recebimento destinados aos </w:t>
      </w:r>
      <w:proofErr w:type="gramStart"/>
      <w:r w:rsidRPr="002F102E">
        <w:rPr>
          <w:rFonts w:ascii="Arial" w:eastAsia="Times New Roman" w:hAnsi="Arial" w:cs="Arial"/>
          <w:sz w:val="24"/>
          <w:szCs w:val="24"/>
          <w:lang w:eastAsia="pt-BR"/>
        </w:rPr>
        <w:t>executados pessoas</w:t>
      </w:r>
      <w:proofErr w:type="gramEnd"/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físicas retornaram com a informação "Mudou-se" (</w:t>
      </w:r>
      <w:proofErr w:type="spellStart"/>
      <w:r w:rsidRPr="002F102E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156457656 e 156457658). Sendo assim, para garantir a efetividade dos atos processuais e o contraditório, é indispensável a regularização da representação processual ou a atualização dos endereços.</w:t>
      </w:r>
    </w:p>
    <w:p w:rsidR="002F102E" w:rsidRPr="002F102E" w:rsidRDefault="002F102E" w:rsidP="002F102E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2F102E" w:rsidRPr="002F102E" w:rsidRDefault="002F102E" w:rsidP="002F102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Ante o exposto, e por tudo mais que dos autos consta: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o pedido de ID 147693681 para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retomar o curso da presente execução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>, em razão do descumprimento do acordo noticiado nos autos, nos termos do art. 922, parágrafo único, do Código de Processo Civil;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que a execução prossiga pelo valor atualizado de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R$ 101.524,00 (cento e um mil, quinhentos e vinte e quatro reais)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>, conforme planilha de débito apresentada no ID 147693685, sem prejuízo de eventual impugnação futura pelos executados;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o pedido de penhora eletrônica e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que a Secretaria proceda, via sistema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SISBAJUD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, à tentativa de bloqueio de ativos financeiros existentes em nome dos executados: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FOX VIDEO LTDA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(CNPJ nº 15.301.856/0001-74),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ANNA DEBORAH DE MIRANDA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(CPF nº 306.255.722-20) e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MARCOS ELIZIO ELUAN LIMA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(CPF nº 104.623.762-49), até o limite do débito exequendo. A consulta deverá abranger todas as instituições financeiras e, desde já, autorizo a ativação da funcionalidade de reiteração automática de ordens ("teimosinha"), pelo prazo máximo permitido pelo sistema, bem como a pesquisa de investimentos;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F102E">
        <w:rPr>
          <w:rFonts w:ascii="Arial" w:eastAsia="Times New Roman" w:hAnsi="Arial" w:cs="Arial"/>
          <w:sz w:val="24"/>
          <w:szCs w:val="24"/>
          <w:lang w:eastAsia="pt-BR"/>
        </w:rPr>
        <w:t>d) Em</w:t>
      </w:r>
      <w:proofErr w:type="gramEnd"/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caso de bloqueio, total ou parcial, dos valores, intimem-se os executados, na pessoa de seus advogados ou, se não os tiverem constituído após a reativação, pessoalmente, para, querendo, se manifestarem no prazo de 5 (cinco) dias, nos termos do art. 854, § 3º, do CPC;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e)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INTIME-SE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a parte exequente para, no prazo de 15 (quinze) dias, manifestar-se sobre o resultado da consulta ao SISBAJUD e, considerando o retorno negativo dos </w:t>
      </w:r>
      <w:proofErr w:type="spellStart"/>
      <w:r w:rsidRPr="002F102E">
        <w:rPr>
          <w:rFonts w:ascii="Arial" w:eastAsia="Times New Roman" w:hAnsi="Arial" w:cs="Arial"/>
          <w:sz w:val="24"/>
          <w:szCs w:val="24"/>
          <w:lang w:eastAsia="pt-BR"/>
        </w:rPr>
        <w:t>ARs</w:t>
      </w:r>
      <w:proofErr w:type="spellEnd"/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2F102E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156457656 e 156457658), para que forneça os endereços atualizados dos executados ANNA DEBORAH DE MIRANDA e MARCOS ELIZIO ELUAN LIMA, ou requeira as medidas que entender pertinentes para a sua localização e intimação, sob pena de nova suspensão do feito;</w:t>
      </w:r>
    </w:p>
    <w:p w:rsidR="002F102E" w:rsidRPr="002F102E" w:rsidRDefault="002F102E" w:rsidP="002F102E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f) </w:t>
      </w:r>
      <w:r w:rsidRPr="002F102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POSTERGO</w:t>
      </w:r>
      <w:r w:rsidRPr="002F102E">
        <w:rPr>
          <w:rFonts w:ascii="Arial" w:eastAsia="Times New Roman" w:hAnsi="Arial" w:cs="Arial"/>
          <w:sz w:val="24"/>
          <w:szCs w:val="24"/>
          <w:lang w:eastAsia="pt-BR"/>
        </w:rPr>
        <w:t xml:space="preserve"> a análise do pedido subsidiário de penhora de salário para momento processual oportuno, após esgotadas as tentativas de localização de outros bens penhoráveis.</w:t>
      </w:r>
    </w:p>
    <w:p w:rsidR="002F102E" w:rsidRPr="002F102E" w:rsidRDefault="002F102E" w:rsidP="002F102E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F102E">
        <w:rPr>
          <w:rFonts w:ascii="Arial" w:eastAsia="Times New Roman" w:hAnsi="Arial" w:cs="Arial"/>
          <w:sz w:val="24"/>
          <w:szCs w:val="24"/>
          <w:lang w:eastAsia="pt-BR"/>
        </w:rPr>
        <w:t>Publique-se. Registre-se. Intimem-se. Cumpra-se.</w:t>
      </w:r>
    </w:p>
    <w:p w:rsidR="00597447" w:rsidRPr="002F102E" w:rsidRDefault="00597447" w:rsidP="002F102E">
      <w:pPr>
        <w:jc w:val="both"/>
        <w:rPr>
          <w:rFonts w:ascii="Arial" w:hAnsi="Arial" w:cs="Arial"/>
          <w:sz w:val="24"/>
          <w:szCs w:val="24"/>
        </w:rPr>
      </w:pPr>
    </w:p>
    <w:sectPr w:rsidR="00597447" w:rsidRPr="002F10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02E"/>
    <w:rsid w:val="002F102E"/>
    <w:rsid w:val="0059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4A017"/>
  <w15:chartTrackingRefBased/>
  <w15:docId w15:val="{C9BCA8D1-A748-4A97-869D-9F15FDC7B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F10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F10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102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F102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F1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F102E"/>
    <w:rPr>
      <w:b/>
      <w:bCs/>
    </w:rPr>
  </w:style>
  <w:style w:type="character" w:styleId="nfase">
    <w:name w:val="Emphasis"/>
    <w:basedOn w:val="Fontepargpadro"/>
    <w:uiPriority w:val="20"/>
    <w:qFormat/>
    <w:rsid w:val="002F10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06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1665">
              <w:marLeft w:val="14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1787</Words>
  <Characters>9655</Characters>
  <Application>Microsoft Office Word</Application>
  <DocSecurity>0</DocSecurity>
  <Lines>80</Lines>
  <Paragraphs>22</Paragraphs>
  <ScaleCrop>false</ScaleCrop>
  <Company/>
  <LinksUpToDate>false</LinksUpToDate>
  <CharactersWithSpaces>11420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2026-05-02T00:14:00Z</dcterms:created>
  <dcterms:modified xsi:type="dcterms:W3CDTF">2026-05-02T00:17:00Z</dcterms:modified>
</cp:coreProperties>
</file>