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F2" w:rsidRPr="00BF58F2" w:rsidRDefault="00BF58F2" w:rsidP="00BF58F2">
      <w:pPr>
        <w:spacing w:before="240" w:after="24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</w:t>
      </w:r>
      <w:r w:rsidRPr="00BF58F2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0889669-34.2023.8.14.0301</w:t>
      </w:r>
    </w:p>
    <w:p w:rsidR="00BF58F2" w:rsidRPr="00BF58F2" w:rsidRDefault="00BF58F2" w:rsidP="00BF58F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1.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</w:t>
      </w:r>
    </w:p>
    <w:p w:rsidR="00BF58F2" w:rsidRPr="00BF58F2" w:rsidRDefault="00BF58F2" w:rsidP="00BF58F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execução de título extrajudicial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fundada em fatura 0217596-7 (ID 101522137), vencida em 05/01/2023, no valor original de R$ 5.322,49, referente a frete de transporte de cargas na modalidade FOB.</w:t>
      </w:r>
    </w:p>
    <w:p w:rsidR="00BF58F2" w:rsidRPr="00BF58F2" w:rsidRDefault="00BF58F2" w:rsidP="003F634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O juízo, em 05/10/2023, determinou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da executada para pagamento em 3 dias, sob pena de penhora, e cientificou sobre o prazo de 15 dias para embargos (ID 101966839). Novo despacho citatório foi proferido em 19/10/2023 (ID 102711356).</w:t>
      </w:r>
      <w:r w:rsidR="003F63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executada foi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citada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e permaneceu inerte, conforme certidão de 13/11/2024 (ID 131240118).</w:t>
      </w:r>
    </w:p>
    <w:p w:rsidR="00BF58F2" w:rsidRPr="00BF58F2" w:rsidRDefault="00BF58F2" w:rsidP="003F634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 exequente, em 31/01/2025, requereu o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prosseguimento da execução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>, com pedidos de bloqueio via SISBAJUD, inclusão no SERASAJUD, bloqueio via RENAJUD, pesquisa via INFOJUD e intimação da executada para indicação de bens (ID 135988735). Apresentou planilha atualizada do débito em R$ 7.887,97 (ID 135988736).</w:t>
      </w:r>
    </w:p>
    <w:p w:rsidR="00BF58F2" w:rsidRPr="00BF58F2" w:rsidRDefault="00BF58F2" w:rsidP="003F634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Em 29/08/2025, foi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deferido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o pedido de pesquisa e bloqueio via SISBAJUD até o limite de R$ 7.887,97 (ID 155408453). O protocolo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foi gerado (ID 155522638), mas o recibo indica que a ordem judicial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ainda não foi disponibilizada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para as instituições financeiras.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 executada, em 01/09/2025, informou que teve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deferido o processamento de recuperação judicial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nos autos nº 0854548-42.2023.8.14.0301, em trâmite na 12ª Vara Cível e Empresarial de Belém, com sentença de 04/07/2023 (ID 96099983). Requereu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suspensão da execução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a sustação da penhora e o levantamento dos bloqueios, sustentando que o crédito está habilitado no juízo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(ID 155676740).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 exequente, em 03/10/2025, ciente da recuperação judicial, requereu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certidão de habilitação de crédito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para habilitar-se no juízo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>, apresentando planilha do débito atualizado até junho/2023, no valor de R$ 5.470,99 (ID 158249873 e 158249874).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Decido.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FUNDAMENTAÇÃO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1.1. Da superveniência da recuperação judicial e seus efeitos sobre a execução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recuperação judicial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da executada foi deferida em 04/07/2023 (ID 96099983), antes mesmo da citação válida nesta execução (ocorrida em data anterior a 13/11/2024, conforme certidão ID 131240118). O crédito exequendo é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anterior ao pedido de recuperação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>, pois a fatura venceu em 05/01/2023.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Nesse contexto, aplica-se o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6º da Lei nº 11.101/2005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que determina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suspensão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de todas as ações e execuções movidas contra o devedor por créditos sujeitos à recuperação judicial, desde o deferimento do processamento da recuperação. A suspensão alcança os atos de constrição patrimonial e as medidas expropriatórias, preservando-se apenas os atos de apuração do crédito para fins de habilitação no juízo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49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da mesma lei estabelece que estão sujeitos à recuperação judicial todos os créditos existentes na data do pedido, excetuados os expressamente excluídos (tributários, trabalhistas até 150 salários mínimos, e os previstos nos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. 82 e 83). O crédito da exequente, decorrente de prestação de serviços de transporte, insere-se na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classe dos quirografários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(art. 83, VI, da LRF) e está, portanto, sujeito aos efeitos da recuperação.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1.2. Consequências processuais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Com o deferimento do processamento da recuperação judicial, a execução individual deve ser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suspensa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6º, §4º, da LRF. Os atos de constrição ainda não efetivados — como o bloqueio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deferido em 29/08/2025 (ID 155408453), mas ainda não disponibilizado às instituições financeiras — devem ser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revogados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pois a constrição patrimonial, se concretizada após a recuperação, violaria o princípio da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paridade entre credores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universalidade do juízo </w:t>
      </w:r>
      <w:proofErr w:type="spellStart"/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O crédito deverá ser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habilitado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no juízo da recuperação judicial (12ª Vara Cível e Empresarial de Belém), onde a executada informou que já consta na lista de credores. Para tanto, é cabível a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certidão de crédito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com os valores atualizados, conforme requerido pela exequente em 03/10/2025 (ID 158249873).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1.3. Dos honorários advocatícios e custas processuais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Quanto aos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fixados na decisão de citação (10% sobre o débito, com redução pela metade em caso de pagamento no prazo, conforme ID 101966839), a suspensão da execução não importa em sua extinção ou renúncia. O valor dos honorários deverá integrar o crédito a ser habilitado no juízo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83, VI, da LRF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, computando-se como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verba honorária contratual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sucumbencial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>, conforme o caso.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processuais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já foram quitadas pela exequente, conforme guias de pagamento juntadas (ID 102074498 e 102074499). Eventuais custas remanescentes seguirão a mesma sorte do crédito principal.</w:t>
      </w:r>
    </w:p>
    <w:p w:rsidR="00BF58F2" w:rsidRPr="00BF58F2" w:rsidRDefault="00BF58F2" w:rsidP="00BF58F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DISPOSITIVO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SUSPENDER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a presente execução, com fundamento no art. 6º, §4º, da Lei nº 11.101/2005, em razão do deferimento do processamento da 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recuperação judicial da executada (autos nº 0854548-42.2023.8.14.0301 — 12ª Vara Cível e Empresarial de Belém);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REVOGAR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a ordem de bloqueio via SISBAJUD deferida em 29/08/2025 (ID 155408453), diante da não efetivação da medida e da superveniência da recuperação judicial;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a expedição de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crédito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em favor da exequente, com o valor atualizado do débito conforme planilha de ID 158249874 (R$ 5.470,99 em junho/2023), devendo a serventia atualizar os encargos até a data da expedição, para fins de habilitação no juízo da recuperação judicial;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COMUNICAR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ao Juízo da 12ª Vara Cível e Empresarial de Belém (autos nº 0854548-42.2023.8.14.0301) a suspensão desta execução e a expedição da certidão de crédito;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CIENTIFICAR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a exequente de que o crédito deverá ser habilitado no juízo </w:t>
      </w:r>
      <w:proofErr w:type="spellStart"/>
      <w:r w:rsidRPr="00BF58F2">
        <w:rPr>
          <w:rFonts w:ascii="Arial" w:eastAsia="Times New Roman" w:hAnsi="Arial" w:cs="Arial"/>
          <w:sz w:val="24"/>
          <w:szCs w:val="24"/>
          <w:lang w:eastAsia="pt-BR"/>
        </w:rPr>
        <w:t>recuperacional</w:t>
      </w:r>
      <w:proofErr w:type="spellEnd"/>
      <w:r w:rsidRPr="00BF58F2">
        <w:rPr>
          <w:rFonts w:ascii="Arial" w:eastAsia="Times New Roman" w:hAnsi="Arial" w:cs="Arial"/>
          <w:sz w:val="24"/>
          <w:szCs w:val="24"/>
          <w:lang w:eastAsia="pt-BR"/>
        </w:rPr>
        <w:t>, podendo, para tanto, utilizar a certidão ora expedida.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Após o cumprimento, </w:t>
      </w: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arquivem-se</w:t>
      </w:r>
      <w:r w:rsidRPr="00BF58F2">
        <w:rPr>
          <w:rFonts w:ascii="Arial" w:eastAsia="Times New Roman" w:hAnsi="Arial" w:cs="Arial"/>
          <w:sz w:val="24"/>
          <w:szCs w:val="24"/>
          <w:lang w:eastAsia="pt-BR"/>
        </w:rPr>
        <w:t xml:space="preserve"> os autos em pasta própria de processos suspensos, com as cautelas de praxe.</w:t>
      </w:r>
    </w:p>
    <w:p w:rsidR="00BF58F2" w:rsidRPr="00BF58F2" w:rsidRDefault="00BF58F2" w:rsidP="00BF58F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F58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P.R.I.C.</w:t>
      </w:r>
    </w:p>
    <w:p w:rsidR="00675071" w:rsidRPr="00BF58F2" w:rsidRDefault="00675071" w:rsidP="00BF58F2">
      <w:pPr>
        <w:jc w:val="both"/>
        <w:rPr>
          <w:rFonts w:ascii="Arial" w:hAnsi="Arial" w:cs="Arial"/>
          <w:sz w:val="24"/>
          <w:szCs w:val="24"/>
        </w:rPr>
      </w:pPr>
    </w:p>
    <w:sectPr w:rsidR="00675071" w:rsidRPr="00BF5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F2"/>
    <w:rsid w:val="003F634E"/>
    <w:rsid w:val="00675071"/>
    <w:rsid w:val="00B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F6EF7"/>
  <w15:chartTrackingRefBased/>
  <w15:docId w15:val="{57A518A7-81E6-4EB6-9946-BC1ED4F7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58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5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F5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8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58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58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F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58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908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2026-07-02T15:12:00Z</dcterms:created>
  <dcterms:modified xsi:type="dcterms:W3CDTF">2026-07-02T15:14:00Z</dcterms:modified>
</cp:coreProperties>
</file>