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260" w:rsidRPr="006B469F" w:rsidRDefault="00E92260" w:rsidP="006B469F">
      <w:pPr>
        <w:pStyle w:val="Pr-formataoHTML"/>
        <w:spacing w:line="360" w:lineRule="auto"/>
        <w:jc w:val="both"/>
        <w:rPr>
          <w:rStyle w:val="CdigoHTML"/>
          <w:rFonts w:ascii="Arial" w:hAnsi="Arial" w:cs="Arial"/>
          <w:sz w:val="24"/>
          <w:szCs w:val="24"/>
        </w:rPr>
      </w:pPr>
      <w:r w:rsidRPr="006B469F">
        <w:rPr>
          <w:rStyle w:val="CdigoHTML"/>
          <w:rFonts w:ascii="Arial" w:hAnsi="Arial" w:cs="Arial"/>
          <w:sz w:val="24"/>
          <w:szCs w:val="24"/>
        </w:rPr>
        <w:t>Processo nº 0839779-05.2018.8.14.0301</w:t>
      </w:r>
    </w:p>
    <w:p w:rsidR="00E92260" w:rsidRPr="006B469F" w:rsidRDefault="00E92260" w:rsidP="006B469F">
      <w:pPr>
        <w:pStyle w:val="Pr-formataoHTML"/>
        <w:spacing w:line="360" w:lineRule="auto"/>
        <w:jc w:val="both"/>
        <w:rPr>
          <w:rStyle w:val="CdigoHTML"/>
          <w:rFonts w:ascii="Arial" w:hAnsi="Arial" w:cs="Arial"/>
          <w:b/>
          <w:sz w:val="24"/>
          <w:szCs w:val="24"/>
        </w:rPr>
      </w:pPr>
      <w:r w:rsidRPr="006B469F">
        <w:rPr>
          <w:rStyle w:val="CdigoHTML"/>
          <w:rFonts w:ascii="Arial" w:hAnsi="Arial" w:cs="Arial"/>
          <w:b/>
          <w:sz w:val="24"/>
          <w:szCs w:val="24"/>
        </w:rPr>
        <w:t>DECISÃO</w:t>
      </w:r>
    </w:p>
    <w:p w:rsidR="00127642" w:rsidRPr="00127642" w:rsidRDefault="00127642" w:rsidP="001276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r w:rsidRPr="00127642">
        <w:rPr>
          <w:rFonts w:ascii="Arial" w:hAnsi="Arial" w:cs="Arial"/>
          <w:sz w:val="24"/>
          <w:szCs w:val="24"/>
        </w:rPr>
        <w:t>Vistos, etc.</w:t>
      </w:r>
    </w:p>
    <w:p w:rsidR="00127642" w:rsidRPr="00127642" w:rsidRDefault="00127642" w:rsidP="001276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27642">
        <w:rPr>
          <w:rFonts w:ascii="Arial" w:hAnsi="Arial" w:cs="Arial"/>
          <w:sz w:val="24"/>
          <w:szCs w:val="24"/>
        </w:rPr>
        <w:t>Compulsando os autos para prolação de sentença, verifico que após o falecimento do réu OSVALDO GOUVÊA (ID 33796173) e a cassação da sentença terminativa pelo Egrégio Tribunal de Justiça (ID 123400900), este juízo determinou a regularização do polo passivo (ID 159611776). O autor requereu a habilitação da meeira e de todos os herdeiros indicados na Escritura Pública de Inventário de ID 123400894, individualizando as quotas e qualificações no ID 155130318.</w:t>
      </w:r>
    </w:p>
    <w:p w:rsidR="00127642" w:rsidRPr="00127642" w:rsidRDefault="00127642" w:rsidP="001276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27642">
        <w:rPr>
          <w:rFonts w:ascii="Arial" w:hAnsi="Arial" w:cs="Arial"/>
          <w:sz w:val="24"/>
          <w:szCs w:val="24"/>
        </w:rPr>
        <w:t xml:space="preserve">Ocorre que, embora a inventariante ZULEIDE DA COSTA GOUVÊA tenha ingressado espontaneamente no feito e outorgado procuração em nome do espólio (ID 172797221), os demais sucessores do de cujus (Rosângela da Costa Gouvêa, Silvio da Costa Gouvêa, Rose Mary Gouvêa Lopes, </w:t>
      </w:r>
      <w:proofErr w:type="spellStart"/>
      <w:r w:rsidRPr="00127642">
        <w:rPr>
          <w:rFonts w:ascii="Arial" w:hAnsi="Arial" w:cs="Arial"/>
          <w:sz w:val="24"/>
          <w:szCs w:val="24"/>
        </w:rPr>
        <w:t>Rayanny</w:t>
      </w:r>
      <w:proofErr w:type="spellEnd"/>
      <w:r w:rsidRPr="00127642">
        <w:rPr>
          <w:rFonts w:ascii="Arial" w:hAnsi="Arial" w:cs="Arial"/>
          <w:sz w:val="24"/>
          <w:szCs w:val="24"/>
        </w:rPr>
        <w:t xml:space="preserve"> Pereira Gouvêa e </w:t>
      </w:r>
      <w:proofErr w:type="spellStart"/>
      <w:r w:rsidRPr="00127642">
        <w:rPr>
          <w:rFonts w:ascii="Arial" w:hAnsi="Arial" w:cs="Arial"/>
          <w:sz w:val="24"/>
          <w:szCs w:val="24"/>
        </w:rPr>
        <w:t>Duanny</w:t>
      </w:r>
      <w:proofErr w:type="spellEnd"/>
      <w:r w:rsidRPr="00127642">
        <w:rPr>
          <w:rFonts w:ascii="Arial" w:hAnsi="Arial" w:cs="Arial"/>
          <w:sz w:val="24"/>
          <w:szCs w:val="24"/>
        </w:rPr>
        <w:t xml:space="preserve"> Gouvêa Gonçalves) não foram formalmente citados ou intimados para se manifestarem sobre o pedido de habilitação, violando o procedimento previsto nos </w:t>
      </w:r>
      <w:proofErr w:type="spellStart"/>
      <w:r w:rsidRPr="00127642">
        <w:rPr>
          <w:rFonts w:ascii="Arial" w:hAnsi="Arial" w:cs="Arial"/>
          <w:sz w:val="24"/>
          <w:szCs w:val="24"/>
        </w:rPr>
        <w:t>arts</w:t>
      </w:r>
      <w:proofErr w:type="spellEnd"/>
      <w:r w:rsidRPr="00127642">
        <w:rPr>
          <w:rFonts w:ascii="Arial" w:hAnsi="Arial" w:cs="Arial"/>
          <w:sz w:val="24"/>
          <w:szCs w:val="24"/>
        </w:rPr>
        <w:t>. 687 a 692 do Código de Processo Civil.</w:t>
      </w:r>
    </w:p>
    <w:p w:rsidR="00127642" w:rsidRPr="00127642" w:rsidRDefault="00127642" w:rsidP="001276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27642">
        <w:rPr>
          <w:rFonts w:ascii="Arial" w:hAnsi="Arial" w:cs="Arial"/>
          <w:sz w:val="24"/>
          <w:szCs w:val="24"/>
        </w:rPr>
        <w:t>Nos termos do art. 690 do CPC, o processo principal somente poderá retomar o seu curso regular após o julgamento e trânsito em julgado da habilitação dos sucessores.</w:t>
      </w:r>
    </w:p>
    <w:p w:rsidR="00127642" w:rsidRPr="00127642" w:rsidRDefault="00127642" w:rsidP="001276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27642">
        <w:rPr>
          <w:rFonts w:ascii="Arial" w:hAnsi="Arial" w:cs="Arial"/>
          <w:sz w:val="24"/>
          <w:szCs w:val="24"/>
        </w:rPr>
        <w:t>Diante do exposto, determino:</w:t>
      </w:r>
    </w:p>
    <w:p w:rsidR="00127642" w:rsidRPr="00127642" w:rsidRDefault="00127642" w:rsidP="001276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27642">
        <w:rPr>
          <w:rFonts w:ascii="Arial" w:hAnsi="Arial" w:cs="Arial"/>
          <w:sz w:val="24"/>
          <w:szCs w:val="24"/>
        </w:rPr>
        <w:t>a) A autuação em apartado, por dependência, do incidente de habilitação de herdeiros, nos termos do art. 689 do CPC, instruindo-se com a petição de ID 155130318, a certidão de óbito de ID 33796173 e a Escritura de Inventário de ID 123400894;</w:t>
      </w:r>
    </w:p>
    <w:p w:rsidR="00127642" w:rsidRPr="00127642" w:rsidRDefault="00127642" w:rsidP="001276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127642">
        <w:rPr>
          <w:rFonts w:ascii="Arial" w:hAnsi="Arial" w:cs="Arial"/>
          <w:sz w:val="24"/>
          <w:szCs w:val="24"/>
        </w:rPr>
        <w:t>b) No</w:t>
      </w:r>
      <w:proofErr w:type="gramEnd"/>
      <w:r w:rsidRPr="00127642">
        <w:rPr>
          <w:rFonts w:ascii="Arial" w:hAnsi="Arial" w:cs="Arial"/>
          <w:sz w:val="24"/>
          <w:szCs w:val="24"/>
        </w:rPr>
        <w:t xml:space="preserve"> incidente autuado, citem-se os herdeiros indicados pelo autor para que se pronunciem no prazo de 5 (cinco) dias, nos termos do art. 692 do CPC, dispensando-se a citação de Zuleide da Costa Gouvêa, que já se encontra devidamente representada nos autos;</w:t>
      </w:r>
    </w:p>
    <w:p w:rsidR="00127642" w:rsidRPr="00127642" w:rsidRDefault="00127642" w:rsidP="001276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127642">
        <w:rPr>
          <w:rFonts w:ascii="Arial" w:hAnsi="Arial" w:cs="Arial"/>
          <w:sz w:val="24"/>
          <w:szCs w:val="24"/>
        </w:rPr>
        <w:t>c) Decorrido</w:t>
      </w:r>
      <w:proofErr w:type="gramEnd"/>
      <w:r w:rsidRPr="00127642">
        <w:rPr>
          <w:rFonts w:ascii="Arial" w:hAnsi="Arial" w:cs="Arial"/>
          <w:sz w:val="24"/>
          <w:szCs w:val="24"/>
        </w:rPr>
        <w:t xml:space="preserve"> o prazo, com ou sem manifestação, conclusos os autos do incidente para decisão.</w:t>
      </w:r>
    </w:p>
    <w:p w:rsidR="00127642" w:rsidRPr="00127642" w:rsidRDefault="00127642" w:rsidP="001276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27642">
        <w:rPr>
          <w:rFonts w:ascii="Arial" w:hAnsi="Arial" w:cs="Arial"/>
          <w:sz w:val="24"/>
          <w:szCs w:val="24"/>
        </w:rPr>
        <w:t>Suspenda-se o curso deste processo principal até o trânsito em julgado da decisão a ser proferida no incidente de habilitação, em estrito cumprimento ao art. 690 do CPC.</w:t>
      </w:r>
    </w:p>
    <w:p w:rsidR="00127642" w:rsidRPr="00127642" w:rsidRDefault="00127642" w:rsidP="001276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226EEF" w:rsidRPr="006B469F" w:rsidRDefault="00127642" w:rsidP="001276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27642">
        <w:rPr>
          <w:rFonts w:ascii="Arial" w:hAnsi="Arial" w:cs="Arial"/>
          <w:sz w:val="24"/>
          <w:szCs w:val="24"/>
        </w:rPr>
        <w:t>Intimem-se. Cumpra-se.</w:t>
      </w:r>
      <w:bookmarkEnd w:id="0"/>
    </w:p>
    <w:sectPr w:rsidR="00226EEF" w:rsidRPr="006B46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4201DD"/>
    <w:multiLevelType w:val="multilevel"/>
    <w:tmpl w:val="5DE6D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260"/>
    <w:rsid w:val="00127642"/>
    <w:rsid w:val="00226EEF"/>
    <w:rsid w:val="006B469F"/>
    <w:rsid w:val="00E9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DDEA1"/>
  <w15:chartTrackingRefBased/>
  <w15:docId w15:val="{151CAFA5-0291-4EDF-903C-8C1C828BD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922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922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922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226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9226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9226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92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92260"/>
    <w:rPr>
      <w:b/>
      <w:bCs/>
    </w:rPr>
  </w:style>
  <w:style w:type="character" w:styleId="nfase">
    <w:name w:val="Emphasis"/>
    <w:basedOn w:val="Fontepargpadro"/>
    <w:uiPriority w:val="20"/>
    <w:qFormat/>
    <w:rsid w:val="00E92260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922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92260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922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1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39891">
              <w:marLeft w:val="14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311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2026-07-03T17:22:00Z</dcterms:created>
  <dcterms:modified xsi:type="dcterms:W3CDTF">2026-07-03T17:46:00Z</dcterms:modified>
</cp:coreProperties>
</file>