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2FDA" w:rsidRPr="00E12FDA" w:rsidRDefault="00E12FDA" w:rsidP="00E12FDA">
      <w:pPr>
        <w:spacing w:before="120" w:after="120" w:line="240" w:lineRule="auto"/>
        <w:jc w:val="both"/>
        <w:rPr>
          <w:rFonts w:ascii="Arial" w:eastAsia="Times New Roman" w:hAnsi="Arial" w:cs="Arial"/>
          <w:bCs/>
          <w:sz w:val="24"/>
          <w:szCs w:val="24"/>
          <w:lang w:eastAsia="pt-BR"/>
        </w:rPr>
      </w:pPr>
      <w:bookmarkStart w:id="0" w:name="_GoBack"/>
      <w:r w:rsidRPr="00E12FDA">
        <w:rPr>
          <w:rFonts w:ascii="Arial" w:eastAsia="Times New Roman" w:hAnsi="Arial" w:cs="Arial"/>
          <w:sz w:val="24"/>
          <w:szCs w:val="24"/>
          <w:lang w:eastAsia="pt-BR"/>
        </w:rPr>
        <w:t xml:space="preserve">PROCESSO Nº </w:t>
      </w:r>
      <w:r w:rsidRPr="00E12FDA">
        <w:rPr>
          <w:rFonts w:ascii="Arial" w:eastAsia="Times New Roman" w:hAnsi="Arial" w:cs="Arial"/>
          <w:bCs/>
          <w:sz w:val="24"/>
          <w:szCs w:val="24"/>
          <w:lang w:eastAsia="pt-BR"/>
        </w:rPr>
        <w:t>0874844-51.2024.8.14.0301</w:t>
      </w:r>
    </w:p>
    <w:bookmarkEnd w:id="0"/>
    <w:p w:rsidR="00E12FDA" w:rsidRPr="00E12FDA" w:rsidRDefault="00E12FDA" w:rsidP="00E12FDA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DECISÃO</w:t>
      </w:r>
    </w:p>
    <w:p w:rsidR="00E12FDA" w:rsidRPr="00E12FDA" w:rsidRDefault="00E12FDA" w:rsidP="00E12FDA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E12FDA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1. RELATÓRIO</w:t>
      </w:r>
    </w:p>
    <w:p w:rsidR="00E12FDA" w:rsidRPr="00E12FDA" w:rsidRDefault="00E12FDA" w:rsidP="00E12FDA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12FDA">
        <w:rPr>
          <w:rFonts w:ascii="Arial" w:eastAsia="Times New Roman" w:hAnsi="Arial" w:cs="Arial"/>
          <w:sz w:val="24"/>
          <w:szCs w:val="24"/>
          <w:lang w:eastAsia="pt-BR"/>
        </w:rPr>
        <w:t xml:space="preserve">Trata-se de </w:t>
      </w:r>
      <w:r w:rsidRPr="00E12FD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Ação de Obrigação de Fazer com Pedido de Tutela de Urgência</w:t>
      </w:r>
      <w:r w:rsidRPr="00E12FDA">
        <w:rPr>
          <w:rFonts w:ascii="Arial" w:eastAsia="Times New Roman" w:hAnsi="Arial" w:cs="Arial"/>
          <w:sz w:val="24"/>
          <w:szCs w:val="24"/>
          <w:lang w:eastAsia="pt-BR"/>
        </w:rPr>
        <w:t xml:space="preserve"> ajuizada por </w:t>
      </w:r>
      <w:r w:rsidRPr="00E12FD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BRADESCO AUTO/RE COMPANHIA DE SEGUROS</w:t>
      </w:r>
      <w:r w:rsidRPr="00E12FDA">
        <w:rPr>
          <w:rFonts w:ascii="Arial" w:eastAsia="Times New Roman" w:hAnsi="Arial" w:cs="Arial"/>
          <w:sz w:val="24"/>
          <w:szCs w:val="24"/>
          <w:lang w:eastAsia="pt-BR"/>
        </w:rPr>
        <w:t xml:space="preserve"> em face do </w:t>
      </w:r>
      <w:r w:rsidRPr="00E12FD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DEPARTAMENTO DE TRÂNSITO DO ESTADO DO PARÁ – DETRAN/PA</w:t>
      </w:r>
      <w:r w:rsidRPr="00E12FDA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E12FDA" w:rsidRPr="00E12FDA" w:rsidRDefault="00E12FDA" w:rsidP="00E12FDA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12FDA">
        <w:rPr>
          <w:rFonts w:ascii="Arial" w:eastAsia="Times New Roman" w:hAnsi="Arial" w:cs="Arial"/>
          <w:sz w:val="24"/>
          <w:szCs w:val="24"/>
          <w:lang w:eastAsia="pt-BR"/>
        </w:rPr>
        <w:t>A autora alega, em síntese (</w:t>
      </w:r>
      <w:r w:rsidRPr="00E12FD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127000655</w:t>
      </w:r>
      <w:r w:rsidRPr="00E12FDA">
        <w:rPr>
          <w:rFonts w:ascii="Arial" w:eastAsia="Times New Roman" w:hAnsi="Arial" w:cs="Arial"/>
          <w:sz w:val="24"/>
          <w:szCs w:val="24"/>
          <w:lang w:eastAsia="pt-BR"/>
        </w:rPr>
        <w:t xml:space="preserve">), que se sub-rogou nos direitos de propriedade do veículo </w:t>
      </w:r>
      <w:proofErr w:type="gramStart"/>
      <w:r w:rsidRPr="00E12FD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M.BENZ</w:t>
      </w:r>
      <w:proofErr w:type="gramEnd"/>
      <w:r w:rsidRPr="00E12FD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/710, Placa KDB8201</w:t>
      </w:r>
      <w:r w:rsidRPr="00E12FDA">
        <w:rPr>
          <w:rFonts w:ascii="Arial" w:eastAsia="Times New Roman" w:hAnsi="Arial" w:cs="Arial"/>
          <w:sz w:val="24"/>
          <w:szCs w:val="24"/>
          <w:lang w:eastAsia="pt-BR"/>
        </w:rPr>
        <w:t>, após o pagamento de indenização integral por sinistro de furto ocorrido em 2006. Afirma que o bem foi recuperado em 2007, mas, devido ao tempo, transformou-se em sucata. Sustenta que o pedido administrativo de baixa definitiva foi obstado pelo extravio do recorte do chassi. Requer, liminarmente, a baixa do registro e a isenção de taxas de licenciamento a partir de 29/03/2021.</w:t>
      </w:r>
    </w:p>
    <w:p w:rsidR="00E12FDA" w:rsidRPr="00E12FDA" w:rsidRDefault="00E12FDA" w:rsidP="00E12FDA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12FDA">
        <w:rPr>
          <w:rFonts w:ascii="Arial" w:eastAsia="Times New Roman" w:hAnsi="Arial" w:cs="Arial"/>
          <w:sz w:val="24"/>
          <w:szCs w:val="24"/>
          <w:lang w:eastAsia="pt-BR"/>
        </w:rPr>
        <w:t>Após a comprovação do recolhimento das custas iniciais (</w:t>
      </w:r>
      <w:r w:rsidRPr="00E12FD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127298423</w:t>
      </w:r>
      <w:r w:rsidRPr="00E12FDA">
        <w:rPr>
          <w:rFonts w:ascii="Arial" w:eastAsia="Times New Roman" w:hAnsi="Arial" w:cs="Arial"/>
          <w:sz w:val="24"/>
          <w:szCs w:val="24"/>
          <w:lang w:eastAsia="pt-BR"/>
        </w:rPr>
        <w:t>), este juízo proferiu despacho determinando a intimação do Estado para demonstrar interesse no feito (</w:t>
      </w:r>
      <w:r w:rsidRPr="00E12FD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128787599</w:t>
      </w:r>
      <w:r w:rsidRPr="00E12FDA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:rsidR="00E12FDA" w:rsidRPr="00E12FDA" w:rsidRDefault="00E12FDA" w:rsidP="00E12FDA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12FDA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r w:rsidRPr="00E12FD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DETRAN/PA</w:t>
      </w:r>
      <w:r w:rsidRPr="00E12FDA">
        <w:rPr>
          <w:rFonts w:ascii="Arial" w:eastAsia="Times New Roman" w:hAnsi="Arial" w:cs="Arial"/>
          <w:sz w:val="24"/>
          <w:szCs w:val="24"/>
          <w:lang w:eastAsia="pt-BR"/>
        </w:rPr>
        <w:t xml:space="preserve"> manifestou-se por meio da Procuradoria-Geral do Estado (</w:t>
      </w:r>
      <w:r w:rsidRPr="00E12FD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134716228</w:t>
      </w:r>
      <w:r w:rsidRPr="00E12FDA">
        <w:rPr>
          <w:rFonts w:ascii="Arial" w:eastAsia="Times New Roman" w:hAnsi="Arial" w:cs="Arial"/>
          <w:sz w:val="24"/>
          <w:szCs w:val="24"/>
          <w:lang w:eastAsia="pt-BR"/>
        </w:rPr>
        <w:t xml:space="preserve">), arguindo a </w:t>
      </w:r>
      <w:r w:rsidRPr="00E12FD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incompetência absoluta</w:t>
      </w:r>
      <w:r w:rsidRPr="00E12FDA">
        <w:rPr>
          <w:rFonts w:ascii="Arial" w:eastAsia="Times New Roman" w:hAnsi="Arial" w:cs="Arial"/>
          <w:sz w:val="24"/>
          <w:szCs w:val="24"/>
          <w:lang w:eastAsia="pt-BR"/>
        </w:rPr>
        <w:t xml:space="preserve"> deste juízo cível, sob o argumento de que demandas envolvendo autarquias estaduais devem tramitar perante as Varas de Fazenda Pública. No mesmo ato, apontou a ausência de citação válida.</w:t>
      </w:r>
    </w:p>
    <w:p w:rsidR="00E12FDA" w:rsidRPr="00E12FDA" w:rsidRDefault="00E12FDA" w:rsidP="00E12FDA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12FDA">
        <w:rPr>
          <w:rFonts w:ascii="Arial" w:eastAsia="Times New Roman" w:hAnsi="Arial" w:cs="Arial"/>
          <w:sz w:val="24"/>
          <w:szCs w:val="24"/>
          <w:lang w:eastAsia="pt-BR"/>
        </w:rPr>
        <w:t xml:space="preserve">Posteriormente, o requerido apresentou </w:t>
      </w:r>
      <w:r w:rsidRPr="00E12FD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contestação</w:t>
      </w:r>
      <w:r w:rsidRPr="00E12FDA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r w:rsidRPr="00E12FD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135920455</w:t>
      </w:r>
      <w:r w:rsidRPr="00E12FDA">
        <w:rPr>
          <w:rFonts w:ascii="Arial" w:eastAsia="Times New Roman" w:hAnsi="Arial" w:cs="Arial"/>
          <w:sz w:val="24"/>
          <w:szCs w:val="24"/>
          <w:lang w:eastAsia="pt-BR"/>
        </w:rPr>
        <w:t>), na qual suscitou preliminares de ilegitimidade ativa e ausência de interesse processual. No mérito, defendeu a legalidade da exigência do recorte do chassi e a necessidade de quitação dos débitos para a efetivação da baixa, conforme a Resolução nº 967/2022 do CONTRAN.</w:t>
      </w:r>
    </w:p>
    <w:p w:rsidR="00E12FDA" w:rsidRPr="00E12FDA" w:rsidRDefault="00E12FDA" w:rsidP="00E12FDA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12FDA">
        <w:rPr>
          <w:rFonts w:ascii="Arial" w:eastAsia="Times New Roman" w:hAnsi="Arial" w:cs="Arial"/>
          <w:sz w:val="24"/>
          <w:szCs w:val="24"/>
          <w:lang w:eastAsia="pt-BR"/>
        </w:rPr>
        <w:t>A parte autora apresentou réplica (</w:t>
      </w:r>
      <w:r w:rsidRPr="00E12FD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137332041</w:t>
      </w:r>
      <w:r w:rsidRPr="00E12FDA">
        <w:rPr>
          <w:rFonts w:ascii="Arial" w:eastAsia="Times New Roman" w:hAnsi="Arial" w:cs="Arial"/>
          <w:sz w:val="24"/>
          <w:szCs w:val="24"/>
          <w:lang w:eastAsia="pt-BR"/>
        </w:rPr>
        <w:t xml:space="preserve">), concordando expressamente com a </w:t>
      </w:r>
      <w:r w:rsidRPr="00E12FD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redistribuição do feito</w:t>
      </w:r>
      <w:r w:rsidRPr="00E12FDA">
        <w:rPr>
          <w:rFonts w:ascii="Arial" w:eastAsia="Times New Roman" w:hAnsi="Arial" w:cs="Arial"/>
          <w:sz w:val="24"/>
          <w:szCs w:val="24"/>
          <w:lang w:eastAsia="pt-BR"/>
        </w:rPr>
        <w:t xml:space="preserve"> para uma das Varas da Fazenda Pública Estadual e reiterando que o comparecimento espontâneo do réu supriu a falta de citação.</w:t>
      </w:r>
    </w:p>
    <w:p w:rsidR="00E12FDA" w:rsidRPr="00E12FDA" w:rsidRDefault="00E12FDA" w:rsidP="00E12FDA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12FDA">
        <w:rPr>
          <w:rFonts w:ascii="Arial" w:eastAsia="Times New Roman" w:hAnsi="Arial" w:cs="Arial"/>
          <w:sz w:val="24"/>
          <w:szCs w:val="24"/>
          <w:lang w:eastAsia="pt-BR"/>
        </w:rPr>
        <w:t xml:space="preserve">A certidão de </w:t>
      </w:r>
      <w:r w:rsidRPr="00E12FD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165739838</w:t>
      </w:r>
      <w:r w:rsidRPr="00E12FDA">
        <w:rPr>
          <w:rFonts w:ascii="Arial" w:eastAsia="Times New Roman" w:hAnsi="Arial" w:cs="Arial"/>
          <w:sz w:val="24"/>
          <w:szCs w:val="24"/>
          <w:lang w:eastAsia="pt-BR"/>
        </w:rPr>
        <w:t xml:space="preserve"> informou que a decisão anterior sobre conciliação não foi publicada e que o período da Semana Nacional de Conciliação transcorreu, retornando os autos conclusos.</w:t>
      </w:r>
    </w:p>
    <w:p w:rsidR="00E12FDA" w:rsidRPr="00E12FDA" w:rsidRDefault="00E12FDA" w:rsidP="00E12FDA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12FDA">
        <w:rPr>
          <w:rFonts w:ascii="Arial" w:eastAsia="Times New Roman" w:hAnsi="Arial" w:cs="Arial"/>
          <w:sz w:val="24"/>
          <w:szCs w:val="24"/>
          <w:lang w:eastAsia="pt-BR"/>
        </w:rPr>
        <w:t xml:space="preserve">Vieram os autos conclusos. </w:t>
      </w:r>
      <w:r w:rsidRPr="00E12FD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Decido.</w:t>
      </w:r>
    </w:p>
    <w:p w:rsidR="00E12FDA" w:rsidRPr="00E12FDA" w:rsidRDefault="00E12FDA" w:rsidP="00E12FDA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E12FDA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2. DA INCOMPETÊNCIA ABSOLUTA</w:t>
      </w:r>
    </w:p>
    <w:p w:rsidR="00E12FDA" w:rsidRPr="00E12FDA" w:rsidRDefault="00E12FDA" w:rsidP="00E12FDA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12FDA">
        <w:rPr>
          <w:rFonts w:ascii="Arial" w:eastAsia="Times New Roman" w:hAnsi="Arial" w:cs="Arial"/>
          <w:sz w:val="24"/>
          <w:szCs w:val="24"/>
          <w:lang w:eastAsia="pt-BR"/>
        </w:rPr>
        <w:t xml:space="preserve">De início, observo que o requerido é o </w:t>
      </w:r>
      <w:r w:rsidRPr="00E12FD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DEPARTAMENTO DE TRÂNSITO DO ESTADO DO PARÁ – DETRAN/PA</w:t>
      </w:r>
      <w:r w:rsidRPr="00E12FDA">
        <w:rPr>
          <w:rFonts w:ascii="Arial" w:eastAsia="Times New Roman" w:hAnsi="Arial" w:cs="Arial"/>
          <w:sz w:val="24"/>
          <w:szCs w:val="24"/>
          <w:lang w:eastAsia="pt-BR"/>
        </w:rPr>
        <w:t xml:space="preserve">, autarquia estadual dotada de personalidade jurídica de direito público, conforme se extrai do comprovante de CNPJ de </w:t>
      </w:r>
      <w:r w:rsidRPr="00E12FD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127000663</w:t>
      </w:r>
      <w:r w:rsidRPr="00E12FDA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E12FDA" w:rsidRPr="00E12FDA" w:rsidRDefault="00E12FDA" w:rsidP="00E12FDA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12FDA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De acordo com o Código de Organização Judiciária do Estado do Pará, a competência para processar e julgar causas em que o Estado, suas autarquias ou empresas públicas sejam partes é das </w:t>
      </w:r>
      <w:r w:rsidRPr="00E12FD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Varas de Fazenda Pública</w:t>
      </w:r>
      <w:r w:rsidRPr="00E12FDA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E12FDA" w:rsidRPr="00E12FDA" w:rsidRDefault="00E12FDA" w:rsidP="00E12FDA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12FDA">
        <w:rPr>
          <w:rFonts w:ascii="Arial" w:eastAsia="Times New Roman" w:hAnsi="Arial" w:cs="Arial"/>
          <w:sz w:val="24"/>
          <w:szCs w:val="24"/>
          <w:lang w:eastAsia="pt-BR"/>
        </w:rPr>
        <w:t xml:space="preserve">A competência das Varas de Fazenda Pública, em razão da qualidade da parte, possui natureza </w:t>
      </w:r>
      <w:r w:rsidRPr="00E12FD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absoluta</w:t>
      </w:r>
      <w:r w:rsidRPr="00E12FDA">
        <w:rPr>
          <w:rFonts w:ascii="Arial" w:eastAsia="Times New Roman" w:hAnsi="Arial" w:cs="Arial"/>
          <w:sz w:val="24"/>
          <w:szCs w:val="24"/>
          <w:lang w:eastAsia="pt-BR"/>
        </w:rPr>
        <w:t>. Nesse sentido, este juízo cível comum não detém competência para processar e julgar a presente demanda, visto que o DETRAN/PA goza de foro privativo na Vara de Fazenda Pública desta capital.</w:t>
      </w:r>
    </w:p>
    <w:p w:rsidR="00E12FDA" w:rsidRPr="00E12FDA" w:rsidRDefault="00E12FDA" w:rsidP="00E12FDA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12FDA">
        <w:rPr>
          <w:rFonts w:ascii="Arial" w:eastAsia="Times New Roman" w:hAnsi="Arial" w:cs="Arial"/>
          <w:sz w:val="24"/>
          <w:szCs w:val="24"/>
          <w:lang w:eastAsia="pt-BR"/>
        </w:rPr>
        <w:t>O reconhecimento da incompetência absoluta pode ser feito de ofício ou mediante provocação das partes, como ocorreu no caso em tela (</w:t>
      </w:r>
      <w:r w:rsidRPr="00E12FD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134716228</w:t>
      </w:r>
      <w:r w:rsidRPr="00E12FDA">
        <w:rPr>
          <w:rFonts w:ascii="Arial" w:eastAsia="Times New Roman" w:hAnsi="Arial" w:cs="Arial"/>
          <w:sz w:val="24"/>
          <w:szCs w:val="24"/>
          <w:lang w:eastAsia="pt-BR"/>
        </w:rPr>
        <w:t xml:space="preserve">), e impõe a imediata remessa dos autos ao juízo competente, nos termos do </w:t>
      </w:r>
      <w:r w:rsidRPr="00E12FD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artigo 64, § 1º, do Código de Processo Civil</w:t>
      </w:r>
      <w:r w:rsidRPr="00E12FDA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E12FDA" w:rsidRPr="00E12FDA" w:rsidRDefault="00E12FDA" w:rsidP="00E12FDA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12FDA">
        <w:rPr>
          <w:rFonts w:ascii="Arial" w:eastAsia="Times New Roman" w:hAnsi="Arial" w:cs="Arial"/>
          <w:sz w:val="24"/>
          <w:szCs w:val="24"/>
          <w:lang w:eastAsia="pt-BR"/>
        </w:rPr>
        <w:t>Ademais, verifico que ambas as partes concordam com a redistribuição (</w:t>
      </w:r>
      <w:r w:rsidRPr="00E12FD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134716228 e ID 137332041</w:t>
      </w:r>
      <w:r w:rsidRPr="00E12FDA">
        <w:rPr>
          <w:rFonts w:ascii="Arial" w:eastAsia="Times New Roman" w:hAnsi="Arial" w:cs="Arial"/>
          <w:sz w:val="24"/>
          <w:szCs w:val="24"/>
          <w:lang w:eastAsia="pt-BR"/>
        </w:rPr>
        <w:t>), o que reforça a necessidade de saneamento deste vício processual antes da análise do pedido de tutela de urgência e das demais preliminares, evitando-se nulidades futuras.</w:t>
      </w:r>
    </w:p>
    <w:p w:rsidR="00E12FDA" w:rsidRPr="00E12FDA" w:rsidRDefault="00E12FDA" w:rsidP="00E12FDA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E12FDA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3. DOS ATOS PROCESSUAIS</w:t>
      </w:r>
    </w:p>
    <w:p w:rsidR="00E12FDA" w:rsidRPr="00E12FDA" w:rsidRDefault="00E12FDA" w:rsidP="00E12FDA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12FDA">
        <w:rPr>
          <w:rFonts w:ascii="Arial" w:eastAsia="Times New Roman" w:hAnsi="Arial" w:cs="Arial"/>
          <w:sz w:val="24"/>
          <w:szCs w:val="24"/>
          <w:lang w:eastAsia="pt-BR"/>
        </w:rPr>
        <w:t>Diante da incompetência absoluta deste juízo, deixo de analisar as questões relativas à validade da citação ou qualquer matéria de mérito. O Código de Processo Civil estabelece que, reconhecida a incompetência absoluta, os autos devem ser remetidos ao juízo competente para que este examine as manifestações das partes e a validade dos atos praticados.</w:t>
      </w:r>
    </w:p>
    <w:p w:rsidR="00E12FDA" w:rsidRPr="00E12FDA" w:rsidRDefault="00E12FDA" w:rsidP="00E12FDA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12FDA">
        <w:rPr>
          <w:rFonts w:ascii="Arial" w:eastAsia="Times New Roman" w:hAnsi="Arial" w:cs="Arial"/>
          <w:sz w:val="24"/>
          <w:szCs w:val="24"/>
          <w:lang w:eastAsia="pt-BR"/>
        </w:rPr>
        <w:t>Assim, as alegações sobre o suprimento da citação pelo comparecimento espontâneo e as demais defesas apresentadas deverão ser apreciadas pelo juiz natural da causa, preservando-se a segurança jurídica e a competência funcional estabelecida em lei.</w:t>
      </w:r>
    </w:p>
    <w:p w:rsidR="00E12FDA" w:rsidRPr="00E12FDA" w:rsidRDefault="00E12FDA" w:rsidP="00E12FDA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E12FDA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4. DISPOSITIVO</w:t>
      </w:r>
    </w:p>
    <w:p w:rsidR="00E12FDA" w:rsidRPr="00E12FDA" w:rsidRDefault="00E12FDA" w:rsidP="00E12FDA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12FDA">
        <w:rPr>
          <w:rFonts w:ascii="Arial" w:eastAsia="Times New Roman" w:hAnsi="Arial" w:cs="Arial"/>
          <w:sz w:val="24"/>
          <w:szCs w:val="24"/>
          <w:lang w:eastAsia="pt-BR"/>
        </w:rPr>
        <w:t>Ante o exposto:</w:t>
      </w:r>
    </w:p>
    <w:p w:rsidR="00E12FDA" w:rsidRPr="00E12FDA" w:rsidRDefault="00E12FDA" w:rsidP="00E12FDA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12FDA">
        <w:rPr>
          <w:rFonts w:ascii="Arial" w:eastAsia="Times New Roman" w:hAnsi="Arial" w:cs="Arial"/>
          <w:sz w:val="24"/>
          <w:szCs w:val="24"/>
          <w:lang w:eastAsia="pt-BR"/>
        </w:rPr>
        <w:t xml:space="preserve">a) </w:t>
      </w:r>
      <w:r w:rsidRPr="00E12FD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DECLARO A INCOMPETÊNCIA ABSOLUTA</w:t>
      </w:r>
      <w:r w:rsidRPr="00E12FDA">
        <w:rPr>
          <w:rFonts w:ascii="Arial" w:eastAsia="Times New Roman" w:hAnsi="Arial" w:cs="Arial"/>
          <w:sz w:val="24"/>
          <w:szCs w:val="24"/>
          <w:lang w:eastAsia="pt-BR"/>
        </w:rPr>
        <w:t xml:space="preserve"> desta 11ª Vara Cível e Empresarial de Belém para processar e julgar a presente ação, nos termos do artigo 64, § 1º, do CPC;</w:t>
      </w:r>
    </w:p>
    <w:p w:rsidR="00E12FDA" w:rsidRPr="00E12FDA" w:rsidRDefault="00E12FDA" w:rsidP="00E12FDA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12FDA">
        <w:rPr>
          <w:rFonts w:ascii="Arial" w:eastAsia="Times New Roman" w:hAnsi="Arial" w:cs="Arial"/>
          <w:sz w:val="24"/>
          <w:szCs w:val="24"/>
          <w:lang w:eastAsia="pt-BR"/>
        </w:rPr>
        <w:t xml:space="preserve">b) </w:t>
      </w:r>
      <w:r w:rsidRPr="00E12FD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DETERMINO A IMEDIATA REDISTRIBUIÇÃO</w:t>
      </w:r>
      <w:r w:rsidRPr="00E12FDA">
        <w:rPr>
          <w:rFonts w:ascii="Arial" w:eastAsia="Times New Roman" w:hAnsi="Arial" w:cs="Arial"/>
          <w:sz w:val="24"/>
          <w:szCs w:val="24"/>
          <w:lang w:eastAsia="pt-BR"/>
        </w:rPr>
        <w:t xml:space="preserve"> dos autos a uma das </w:t>
      </w:r>
      <w:r w:rsidRPr="00E12FD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Varas de Fazenda Pública da Capital</w:t>
      </w:r>
      <w:r w:rsidRPr="00E12FDA">
        <w:rPr>
          <w:rFonts w:ascii="Arial" w:eastAsia="Times New Roman" w:hAnsi="Arial" w:cs="Arial"/>
          <w:sz w:val="24"/>
          <w:szCs w:val="24"/>
          <w:lang w:eastAsia="pt-BR"/>
        </w:rPr>
        <w:t>, com as homenagens de estilo;</w:t>
      </w:r>
    </w:p>
    <w:p w:rsidR="00E12FDA" w:rsidRPr="00E12FDA" w:rsidRDefault="00E12FDA" w:rsidP="00E12FDA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12FDA">
        <w:rPr>
          <w:rFonts w:ascii="Arial" w:eastAsia="Times New Roman" w:hAnsi="Arial" w:cs="Arial"/>
          <w:sz w:val="24"/>
          <w:szCs w:val="24"/>
          <w:lang w:eastAsia="pt-BR"/>
        </w:rPr>
        <w:t xml:space="preserve">c) </w:t>
      </w:r>
      <w:r w:rsidRPr="00E12FD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DEIXO DE APRECIAR</w:t>
      </w:r>
      <w:r w:rsidRPr="00E12FDA">
        <w:rPr>
          <w:rFonts w:ascii="Arial" w:eastAsia="Times New Roman" w:hAnsi="Arial" w:cs="Arial"/>
          <w:sz w:val="24"/>
          <w:szCs w:val="24"/>
          <w:lang w:eastAsia="pt-BR"/>
        </w:rPr>
        <w:t xml:space="preserve"> o pedido de tutela de urgência, a validade da citação e as preliminares de mérito, para que sejam decididos pelo juízo competente, em respeito ao princípio do juiz natural.</w:t>
      </w:r>
    </w:p>
    <w:p w:rsidR="00E12FDA" w:rsidRPr="00E12FDA" w:rsidRDefault="00E12FDA" w:rsidP="00E12FDA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12FDA">
        <w:rPr>
          <w:rFonts w:ascii="Arial" w:eastAsia="Times New Roman" w:hAnsi="Arial" w:cs="Arial"/>
          <w:sz w:val="24"/>
          <w:szCs w:val="24"/>
          <w:lang w:eastAsia="pt-BR"/>
        </w:rPr>
        <w:t xml:space="preserve">Proceda a Secretaria com as baixas e anotações necessárias no sistema </w:t>
      </w:r>
      <w:proofErr w:type="spellStart"/>
      <w:r w:rsidRPr="00E12FDA">
        <w:rPr>
          <w:rFonts w:ascii="Arial" w:eastAsia="Times New Roman" w:hAnsi="Arial" w:cs="Arial"/>
          <w:sz w:val="24"/>
          <w:szCs w:val="24"/>
          <w:lang w:eastAsia="pt-BR"/>
        </w:rPr>
        <w:t>PJe</w:t>
      </w:r>
      <w:proofErr w:type="spellEnd"/>
      <w:r w:rsidRPr="00E12FDA">
        <w:rPr>
          <w:rFonts w:ascii="Arial" w:eastAsia="Times New Roman" w:hAnsi="Arial" w:cs="Arial"/>
          <w:sz w:val="24"/>
          <w:szCs w:val="24"/>
          <w:lang w:eastAsia="pt-BR"/>
        </w:rPr>
        <w:t xml:space="preserve"> para a efetiva remessa.</w:t>
      </w:r>
    </w:p>
    <w:p w:rsidR="00E12FDA" w:rsidRPr="00E12FDA" w:rsidRDefault="00E12FDA" w:rsidP="00E12FDA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12FDA">
        <w:rPr>
          <w:rFonts w:ascii="Arial" w:eastAsia="Times New Roman" w:hAnsi="Arial" w:cs="Arial"/>
          <w:sz w:val="24"/>
          <w:szCs w:val="24"/>
          <w:lang w:eastAsia="pt-BR"/>
        </w:rPr>
        <w:t>Cumpra-se com urgência.</w:t>
      </w:r>
    </w:p>
    <w:sectPr w:rsidR="00E12FDA" w:rsidRPr="00E12F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FDA"/>
    <w:rsid w:val="00791BBF"/>
    <w:rsid w:val="00E12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7AD71"/>
  <w15:chartTrackingRefBased/>
  <w15:docId w15:val="{25124465-CC24-4508-8CB4-51B8A6B4A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12F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2FD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12F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12F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82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717</Words>
  <Characters>3874</Characters>
  <Application>Microsoft Office Word</Application>
  <DocSecurity>0</DocSecurity>
  <Lines>32</Lines>
  <Paragraphs>9</Paragraphs>
  <ScaleCrop>false</ScaleCrop>
  <Company/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2026-05-01T20:40:00Z</dcterms:created>
  <dcterms:modified xsi:type="dcterms:W3CDTF">2026-05-01T20:42:00Z</dcterms:modified>
</cp:coreProperties>
</file>