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9E7" w:rsidRPr="008119E7" w:rsidRDefault="008119E7" w:rsidP="008119E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0876969-55.2025.8.14.0301</w:t>
      </w:r>
    </w:p>
    <w:p w:rsidR="008119E7" w:rsidRPr="008119E7" w:rsidRDefault="008119E7" w:rsidP="008119E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8119E7" w:rsidRPr="008119E7" w:rsidRDefault="008119E7" w:rsidP="008119E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8119E7" w:rsidRPr="008119E7" w:rsidRDefault="008119E7" w:rsidP="008119E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Precatória Cível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>, oriunda da 1ª Vara Cível do Foro de Mogi das Cruzes/SP (processo principal nº 1023392-33.2023.8.26.0361), distribuída a esta 11ª Vara Cível e Empresarial de Belém/PA em 22/08/2025 (ID 154997810).</w:t>
      </w:r>
    </w:p>
    <w:p w:rsidR="008119E7" w:rsidRPr="008119E7" w:rsidRDefault="008119E7" w:rsidP="008119E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A carta precatória foi expedida nos autos de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Execução de Título Extrajudicial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Loyal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Profit Consulting Ltda.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contra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Induspar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Indústria e Comércio de Conservas Ltda.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, em que o Juízo Deprecante (Mogi das Cruzes/SP) determinou 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penhora de 30% do faturamento mensal líquido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da executada, nos termos do art. 866 do CPC (ID 154997817). A executada está situada na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Margem Esquerda do Rio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Xarapucu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s/n,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(ID 154997811, fls. 1; ID 154997810, fls. 1).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A carta precatória indica expressamente como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Juízo Deprecado a Comarca de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(ID 154997810, fls. 1-2), determinando que o juízo deprecado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nomeie depositário-administrador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(perito de confiança) para operacionalizar a constrição, segregar o percentual penhorado e prestar contas mensais, bem como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arbitre honorários periciais provisórios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>Por meio de atos ordinatórios de 05/09/2025 (ID 156064141 e 156064144), a parte autora foi intimada para recolhimento de custas iniciais no prazo de 15 dias. Em 26/09/2025, a deprecante juntou guia e comprovante de pagamento (</w:t>
      </w:r>
      <w:proofErr w:type="spellStart"/>
      <w:r w:rsidRPr="008119E7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157715374 e 157715375), no valor de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R$ 898,05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, indicando 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nº 0800715-65.2025.8.14.0002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(Afuá/PA) e vencimento em 31/10/2025.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Em 14/11/2025, a servidora certificou que a carta precatória tem como Juízo Deprecado 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Comarca de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>, motivo pelo qual fez conclusão ao gabinete (ID 161252548).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Em 08/04/2026, os patronos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Gustavo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Bismarchi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Motta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275.477) 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Ricardo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Viscardi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Pires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353.389) juntaram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substabelecimento sem reserva de poderes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em favor dos Drs.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Douglas Mattos Lombardi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228.013) 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Paulo Rogério Jacob Junior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425.005), requerendo a exclusão de seus nomes do rol de procuradores (</w:t>
      </w:r>
      <w:proofErr w:type="spellStart"/>
      <w:r w:rsidRPr="008119E7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172951273 e 172951274).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incompetência territorial do Juízo de Belém/PA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Precatória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é instrumento de cooperação judiciária nacional, prevista nos </w:t>
      </w:r>
      <w:proofErr w:type="spellStart"/>
      <w:r w:rsidRPr="008119E7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. 236 e 237 do Código de Processo Civil, destinada a que um juízo deprecado pratique atos em sua circunscrição judiciária a pedido do juízo deprecante. Sua distribuição deve observar 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competência territorial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do órgão no qual os atos deverão ser cumpridos.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 caso concreto, a executada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Induspar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Indústria e Comércio de Conservas Ltda.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está sediada na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Margem Esquerda do Rio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Xarapucu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s/n,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(ID 154997811, fls. 1; ID 154997810, fls. 1). O Juízo Deprecante determinou expressamente que a carta precatória fosse cumprida perante 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Comarca de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(ID 154997810, fls. 2; ID 154997817, fls. 1-2).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Apesar disso, a carta precatória foi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distribuída a Belém/PA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(11ª Vara Cível e Empresarial), o que configura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erro de distribuição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. A competência para cumprimento dos atos deprecados é do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juízo da comarca onde a executada se encontra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e onde a constrição deverá ser operacionalizada, ou seja,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O art. 64, § 1º, do CPC determina que, arguida ou constatada de ofício a incompetência, os autos devem ser remetidos ao juízo competente. 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incompetência territorial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pode ser declarada de ofício nas ações de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execução de título extrajudicial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como incidente da carta precatória, especialmente quando se trata de ato a ser praticado em comarca diversa (art. 43 c/</w:t>
      </w:r>
      <w:proofErr w:type="gramStart"/>
      <w:r w:rsidRPr="008119E7">
        <w:rPr>
          <w:rFonts w:ascii="Arial" w:eastAsia="Times New Roman" w:hAnsi="Arial" w:cs="Arial"/>
          <w:sz w:val="24"/>
          <w:szCs w:val="24"/>
          <w:lang w:eastAsia="pt-BR"/>
        </w:rPr>
        <w:t>c</w:t>
      </w:r>
      <w:proofErr w:type="gramEnd"/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art. 237 do CPC).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Assim, este Juízo de Belém/PA é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incompetente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para cumprir a carta precatória, devendo os autos ser remetidos ao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Juízo de Direito da Comarca de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— onde a executada está sediada e onde os atos de constrição devem ser realizados.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Diante do exposto,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declaro de ofício a incompetência territorial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deste Juízo da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11ª Vara Cível e Empresarial de Belém/PA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para o cumprimento </w:t>
      </w:r>
      <w:proofErr w:type="gramStart"/>
      <w:r w:rsidRPr="008119E7">
        <w:rPr>
          <w:rFonts w:ascii="Arial" w:eastAsia="Times New Roman" w:hAnsi="Arial" w:cs="Arial"/>
          <w:sz w:val="24"/>
          <w:szCs w:val="24"/>
          <w:lang w:eastAsia="pt-BR"/>
        </w:rPr>
        <w:t>da presente</w:t>
      </w:r>
      <w:proofErr w:type="gramEnd"/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Carta Precatória Cível, e determino: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a) A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remessa dos autos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ao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Juízo de Direito da Comarca de Afuá/PA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(Vara Única ou distribuição), onde a executada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Induspar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Indústria e Comércio de Conservas Ltda.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está sediada, para que o juízo deprecado competente dê cumprimento aos atos deprecados — nomeação de depositário-administrador, arbitramento de honorários periciais e demais providências previstas na decisão do Juízo Deprecante (ID 154997817);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b) O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registro do substabelecimento sem reserva de poderes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juntado em 08/04/2026 (</w:t>
      </w:r>
      <w:proofErr w:type="spellStart"/>
      <w:r w:rsidRPr="008119E7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172951273 e 172951274), ficando excluídos do polo ativo os patronos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Gustavo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Bismarchi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Motta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275.477) 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Ricardo </w:t>
      </w:r>
      <w:proofErr w:type="spellStart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Viscardi</w:t>
      </w:r>
      <w:proofErr w:type="spellEnd"/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Pires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353.389), e passando a constar como procuradores os Drs.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Douglas Mattos Lombardi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228.013) e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Paulo Rogério Jacob Junior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(OAB/SP 425.005);</w:t>
      </w:r>
    </w:p>
    <w:p w:rsidR="008119E7" w:rsidRPr="008119E7" w:rsidRDefault="006A229C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8119E7" w:rsidRPr="008119E7">
        <w:rPr>
          <w:rFonts w:ascii="Arial" w:eastAsia="Times New Roman" w:hAnsi="Arial" w:cs="Arial"/>
          <w:sz w:val="24"/>
          <w:szCs w:val="24"/>
          <w:lang w:eastAsia="pt-BR"/>
        </w:rPr>
        <w:t>) Após</w:t>
      </w:r>
      <w:proofErr w:type="gramEnd"/>
      <w:r w:rsidR="008119E7"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a remessa, o juízo competente deverá </w:t>
      </w:r>
      <w:r w:rsidR="008119E7"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intimar os novos patronos</w:t>
      </w:r>
      <w:r w:rsidR="008119E7"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(Douglas Mattos Lombardi e Paulo Rogério Jacob Junior) acerca dos atos processuais subsequentes.</w:t>
      </w:r>
    </w:p>
    <w:p w:rsidR="008119E7" w:rsidRPr="008119E7" w:rsidRDefault="008119E7" w:rsidP="006A229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Intime-se.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Após, </w:t>
      </w:r>
      <w:r w:rsidRPr="008119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remetam-se os autos</w:t>
      </w:r>
      <w:r w:rsidRPr="008119E7">
        <w:rPr>
          <w:rFonts w:ascii="Arial" w:eastAsia="Times New Roman" w:hAnsi="Arial" w:cs="Arial"/>
          <w:sz w:val="24"/>
          <w:szCs w:val="24"/>
          <w:lang w:eastAsia="pt-BR"/>
        </w:rPr>
        <w:t xml:space="preserve"> ao Juízo de Direito da Comarca de Afuá/PA, independentemente de nova conclusão.</w:t>
      </w:r>
    </w:p>
    <w:bookmarkEnd w:id="0"/>
    <w:p w:rsidR="00F2350D" w:rsidRPr="008119E7" w:rsidRDefault="00F2350D" w:rsidP="008119E7">
      <w:pPr>
        <w:jc w:val="both"/>
        <w:rPr>
          <w:rFonts w:ascii="Arial" w:hAnsi="Arial" w:cs="Arial"/>
          <w:sz w:val="24"/>
          <w:szCs w:val="24"/>
        </w:rPr>
      </w:pPr>
    </w:p>
    <w:sectPr w:rsidR="00F2350D" w:rsidRPr="008119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9E7"/>
    <w:rsid w:val="006A229C"/>
    <w:rsid w:val="008119E7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FB7A9"/>
  <w15:chartTrackingRefBased/>
  <w15:docId w15:val="{A127D410-F736-4630-97B4-47D65D9C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11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9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11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119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8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771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2026-06-29T13:50:00Z</dcterms:created>
  <dcterms:modified xsi:type="dcterms:W3CDTF">2026-06-29T14:09:00Z</dcterms:modified>
</cp:coreProperties>
</file>