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66E" w:rsidRDefault="0071266E" w:rsidP="0071266E">
      <w:pPr>
        <w:jc w:val="both"/>
        <w:rPr>
          <w:rFonts w:ascii="Arial" w:hAnsi="Arial" w:cs="Arial"/>
          <w:sz w:val="24"/>
          <w:szCs w:val="24"/>
        </w:rPr>
      </w:pPr>
      <w:r>
        <w:rPr>
          <w:rFonts w:ascii="Arial" w:hAnsi="Arial" w:cs="Arial"/>
          <w:sz w:val="24"/>
          <w:szCs w:val="24"/>
        </w:rPr>
        <w:t xml:space="preserve">PROCESSO N. </w:t>
      </w:r>
      <w:r w:rsidR="003E0EF4" w:rsidRPr="003E0EF4">
        <w:rPr>
          <w:rFonts w:ascii="Arial" w:hAnsi="Arial" w:cs="Arial"/>
          <w:sz w:val="24"/>
          <w:szCs w:val="24"/>
        </w:rPr>
        <w:t>0819157-26.2023.8.14.0301</w:t>
      </w:r>
    </w:p>
    <w:p w:rsidR="0071266E" w:rsidRPr="0071266E" w:rsidRDefault="0071266E" w:rsidP="0071266E">
      <w:pPr>
        <w:jc w:val="both"/>
        <w:rPr>
          <w:rFonts w:ascii="Arial" w:hAnsi="Arial" w:cs="Arial"/>
          <w:b/>
          <w:sz w:val="24"/>
          <w:szCs w:val="24"/>
        </w:rPr>
      </w:pPr>
      <w:r w:rsidRPr="0071266E">
        <w:rPr>
          <w:rFonts w:ascii="Arial" w:hAnsi="Arial" w:cs="Arial"/>
          <w:b/>
          <w:sz w:val="24"/>
          <w:szCs w:val="24"/>
        </w:rPr>
        <w:t>DECISÃO</w:t>
      </w:r>
    </w:p>
    <w:p w:rsidR="002E71E6" w:rsidRDefault="002E71E6" w:rsidP="002E71E6">
      <w:pPr>
        <w:pStyle w:val="Ttulo1"/>
        <w:spacing w:before="0" w:after="142"/>
        <w:jc w:val="both"/>
        <w:rPr>
          <w:rFonts w:ascii="Arial" w:hAnsi="Arial"/>
          <w:sz w:val="24"/>
          <w:szCs w:val="24"/>
        </w:rPr>
      </w:pPr>
      <w:r>
        <w:rPr>
          <w:rFonts w:ascii="Arial" w:hAnsi="Arial"/>
          <w:sz w:val="24"/>
          <w:szCs w:val="24"/>
        </w:rPr>
        <w:t>1. RELATÓRIO</w:t>
      </w:r>
    </w:p>
    <w:p w:rsidR="002E71E6" w:rsidRDefault="002E71E6" w:rsidP="002E71E6">
      <w:pPr>
        <w:pStyle w:val="Textbody"/>
        <w:spacing w:after="142"/>
        <w:jc w:val="both"/>
        <w:rPr>
          <w:rFonts w:hint="eastAsia"/>
        </w:rPr>
      </w:pPr>
      <w:r>
        <w:rPr>
          <w:rFonts w:ascii="Arial" w:hAnsi="Arial"/>
        </w:rPr>
        <w:t xml:space="preserve">Trata-se de </w:t>
      </w:r>
      <w:r>
        <w:rPr>
          <w:rStyle w:val="StrongEmphasis"/>
          <w:rFonts w:ascii="Arial" w:hAnsi="Arial"/>
        </w:rPr>
        <w:t xml:space="preserve">Ação de </w:t>
      </w:r>
      <w:r w:rsidR="002E2B58">
        <w:rPr>
          <w:rStyle w:val="StrongEmphasis"/>
          <w:rFonts w:ascii="Arial" w:hAnsi="Arial"/>
        </w:rPr>
        <w:t>Cobrança</w:t>
      </w:r>
      <w:r>
        <w:rPr>
          <w:rFonts w:ascii="Arial" w:hAnsi="Arial"/>
        </w:rPr>
        <w:t xml:space="preserve"> ajuizada por </w:t>
      </w:r>
      <w:r w:rsidR="002E2B58" w:rsidRPr="002E2B58">
        <w:rPr>
          <w:rFonts w:ascii="Arial" w:hAnsi="Arial"/>
          <w:b/>
          <w:bCs/>
        </w:rPr>
        <w:t>BANCO BRADESCO S/A.</w:t>
      </w:r>
      <w:r>
        <w:rPr>
          <w:rFonts w:ascii="Arial" w:hAnsi="Arial"/>
          <w:b/>
          <w:bCs/>
        </w:rPr>
        <w:t xml:space="preserve"> </w:t>
      </w:r>
      <w:r>
        <w:rPr>
          <w:rFonts w:ascii="Arial" w:hAnsi="Arial"/>
        </w:rPr>
        <w:t xml:space="preserve">em desfavor de </w:t>
      </w:r>
      <w:r w:rsidR="002E2B58" w:rsidRPr="002E2B58">
        <w:rPr>
          <w:rFonts w:ascii="Arial" w:hAnsi="Arial"/>
          <w:b/>
          <w:bCs/>
        </w:rPr>
        <w:t>DANIELLY SUZANE BARROS DA SILVA</w:t>
      </w:r>
      <w:r>
        <w:rPr>
          <w:rFonts w:ascii="Arial" w:hAnsi="Arial"/>
        </w:rPr>
        <w:t>, todos devidamente qualificados nos autos.</w:t>
      </w:r>
    </w:p>
    <w:p w:rsidR="002E71E6" w:rsidRDefault="002E71E6" w:rsidP="002E71E6">
      <w:pPr>
        <w:pStyle w:val="Textbody"/>
        <w:spacing w:after="142"/>
        <w:jc w:val="both"/>
        <w:rPr>
          <w:rFonts w:hint="eastAsia"/>
        </w:rPr>
      </w:pPr>
      <w:r>
        <w:rPr>
          <w:rFonts w:ascii="Arial" w:hAnsi="Arial"/>
        </w:rPr>
        <w:t xml:space="preserve">Foi proferida </w:t>
      </w:r>
      <w:r>
        <w:rPr>
          <w:rStyle w:val="StrongEmphasis"/>
          <w:rFonts w:ascii="Arial" w:hAnsi="Arial"/>
        </w:rPr>
        <w:t>decisão interlocutória</w:t>
      </w:r>
      <w:r w:rsidR="002E2B58">
        <w:rPr>
          <w:rFonts w:ascii="Arial" w:hAnsi="Arial"/>
        </w:rPr>
        <w:t xml:space="preserve"> </w:t>
      </w:r>
      <w:r>
        <w:rPr>
          <w:rFonts w:ascii="Arial" w:hAnsi="Arial"/>
        </w:rPr>
        <w:t xml:space="preserve">determinando a citação da ré </w:t>
      </w:r>
      <w:r w:rsidR="002E2B58">
        <w:rPr>
          <w:rFonts w:ascii="Arial" w:hAnsi="Arial"/>
        </w:rPr>
        <w:t>para apresentação de contestação.</w:t>
      </w:r>
    </w:p>
    <w:p w:rsidR="002E71E6" w:rsidRDefault="002E71E6" w:rsidP="002E71E6">
      <w:pPr>
        <w:pStyle w:val="Textbody"/>
        <w:spacing w:after="142"/>
        <w:jc w:val="both"/>
        <w:rPr>
          <w:rFonts w:hint="eastAsia"/>
        </w:rPr>
      </w:pPr>
      <w:r>
        <w:rPr>
          <w:rFonts w:ascii="Arial" w:hAnsi="Arial"/>
        </w:rPr>
        <w:t xml:space="preserve">A diligência foi inicialmente frustrada pela não localização </w:t>
      </w:r>
      <w:r w:rsidR="002E2B58">
        <w:rPr>
          <w:rFonts w:ascii="Arial" w:hAnsi="Arial"/>
        </w:rPr>
        <w:t>parte ré</w:t>
      </w:r>
      <w:r>
        <w:rPr>
          <w:rFonts w:ascii="Arial" w:hAnsi="Arial"/>
        </w:rPr>
        <w:t xml:space="preserve"> no endereço indicado pela parte autora. Diante disso, o requerente peticionou </w:t>
      </w:r>
      <w:r w:rsidR="002E2B58">
        <w:rPr>
          <w:rFonts w:ascii="Arial" w:hAnsi="Arial"/>
        </w:rPr>
        <w:t>requerendo uma nova tentativa de citação no mesmo endereço</w:t>
      </w:r>
      <w:bookmarkStart w:id="0" w:name="_GoBack"/>
      <w:bookmarkEnd w:id="0"/>
      <w:r>
        <w:rPr>
          <w:rFonts w:ascii="Arial" w:hAnsi="Arial"/>
        </w:rPr>
        <w:t xml:space="preserve">, o que ensejou a renovação do mandado, que foi novamente frustrado. Diante da impossibilidade de localizar a ré pelos meios convencionais, a instituição financeira peticionou nos autos requerendo que este Juízo realize pesquisas de endereço através dos sistemas auxiliares conveniados, especificamente </w:t>
      </w:r>
      <w:r>
        <w:rPr>
          <w:rFonts w:ascii="Arial" w:hAnsi="Arial"/>
          <w:b/>
          <w:bCs/>
        </w:rPr>
        <w:t>SISBAJUD, RENAJUD, INFOJUD, SERASAJUD e BACENJUD</w:t>
      </w:r>
      <w:r>
        <w:rPr>
          <w:rFonts w:ascii="Arial" w:hAnsi="Arial"/>
        </w:rPr>
        <w:t>. A parte autora sustentou a necessidade da intervenção judicial para o prosseguimento do feito. O processo veio concluso para análise do pedido de consulta aos sistemas.</w:t>
      </w:r>
    </w:p>
    <w:p w:rsidR="002E71E6" w:rsidRDefault="002E71E6" w:rsidP="002E71E6">
      <w:pPr>
        <w:pStyle w:val="Ttulo1"/>
        <w:spacing w:before="0" w:after="142"/>
        <w:jc w:val="both"/>
        <w:rPr>
          <w:rFonts w:ascii="Arial" w:hAnsi="Arial"/>
          <w:sz w:val="24"/>
          <w:szCs w:val="24"/>
        </w:rPr>
      </w:pPr>
      <w:r>
        <w:rPr>
          <w:rFonts w:ascii="Arial" w:hAnsi="Arial"/>
          <w:sz w:val="24"/>
          <w:szCs w:val="24"/>
        </w:rPr>
        <w:t>2. FUNDAMENTAÇÃO</w:t>
      </w:r>
    </w:p>
    <w:p w:rsidR="002E71E6" w:rsidRDefault="002E71E6" w:rsidP="002E71E6">
      <w:pPr>
        <w:pStyle w:val="Ttulo2"/>
        <w:spacing w:before="0" w:after="142"/>
        <w:jc w:val="both"/>
        <w:rPr>
          <w:rFonts w:ascii="Arial" w:hAnsi="Arial"/>
          <w:sz w:val="24"/>
          <w:szCs w:val="24"/>
        </w:rPr>
      </w:pPr>
      <w:r>
        <w:rPr>
          <w:rFonts w:ascii="Arial" w:hAnsi="Arial"/>
          <w:sz w:val="24"/>
          <w:szCs w:val="24"/>
        </w:rPr>
        <w:t>Do Indeferimento do Pedido de Pesquisa aos Sistemas Conveniados</w:t>
      </w:r>
    </w:p>
    <w:p w:rsidR="002E71E6" w:rsidRDefault="002E71E6" w:rsidP="002E71E6">
      <w:pPr>
        <w:pStyle w:val="Textbody"/>
        <w:spacing w:after="142"/>
        <w:jc w:val="both"/>
        <w:rPr>
          <w:rFonts w:hint="eastAsia"/>
        </w:rPr>
      </w:pPr>
      <w:r>
        <w:rPr>
          <w:rFonts w:ascii="Arial" w:hAnsi="Arial"/>
        </w:rPr>
        <w:t xml:space="preserve">Compete inicialmente analisar o pleito formulado pela instituição financeira autora, por meio do qual requer a intervenção deste Juízo para a realização de consultas aos sistemas </w:t>
      </w:r>
      <w:r>
        <w:rPr>
          <w:rFonts w:ascii="Arial" w:hAnsi="Arial"/>
          <w:b/>
          <w:bCs/>
        </w:rPr>
        <w:t>SISBAJUD, RENAJUD, INFOJUD, SERASAJUD e BACENJUD</w:t>
      </w:r>
      <w:r>
        <w:rPr>
          <w:rFonts w:ascii="Arial" w:hAnsi="Arial"/>
        </w:rPr>
        <w:t xml:space="preserve">, com o objetivo de localizar o endereço atualizado da ré </w:t>
      </w:r>
      <w:r>
        <w:rPr>
          <w:rStyle w:val="StrongEmphasis"/>
          <w:rFonts w:ascii="Arial" w:hAnsi="Arial"/>
        </w:rPr>
        <w:t>e o paradeiro do bem</w:t>
      </w:r>
      <w:r>
        <w:rPr>
          <w:rFonts w:ascii="Arial" w:hAnsi="Arial"/>
        </w:rPr>
        <w:t>. Após detida análise do trâmite processual e dos fundamentos que regem a relação jurídica entre as partes e o Estado-Juiz, concluo que o pedido não comporta acolhimento, devendo ser indeferido pelos motivos que passo a expor.</w:t>
      </w:r>
    </w:p>
    <w:p w:rsidR="002E71E6" w:rsidRDefault="002E71E6" w:rsidP="002E71E6">
      <w:pPr>
        <w:pStyle w:val="Textbody"/>
        <w:spacing w:after="142"/>
        <w:jc w:val="both"/>
        <w:rPr>
          <w:rFonts w:ascii="Arial" w:hAnsi="Arial"/>
        </w:rPr>
      </w:pPr>
      <w:r>
        <w:rPr>
          <w:rFonts w:ascii="Arial" w:hAnsi="Arial"/>
        </w:rPr>
        <w:t>O dever de diligência da parte Autora, em especial daquela que busca a satisfação de um crédito, é um pilar essencial para a movimentação e o bom termo do processo. Ao ingressar em juízo, o demandante assume a incumbência de fornecer os elementos mínimos para o desenvolvimento válido e regular do feito, incluindo a identificação precisa do polo passivo e, primordialmente, o seu endereço para que a citação possa ser efetuada. A citação válida é pressuposto de desenvolvimento regular e pressuposto processual indispensável, sem a qual não há a formação da relação jurídico-processual tríplice. A busca pelo endereço do réu, portanto, não é uma etapa facultativa ou meramente acessória, mas sim uma etapa fundamental que precede e possibilita o exercício da jurisdição sobre a pessoa do demandado.</w:t>
      </w:r>
    </w:p>
    <w:p w:rsidR="002E71E6" w:rsidRDefault="002E71E6" w:rsidP="002E71E6">
      <w:pPr>
        <w:pStyle w:val="Textbody"/>
        <w:spacing w:after="142"/>
        <w:jc w:val="both"/>
        <w:rPr>
          <w:rFonts w:ascii="Arial" w:hAnsi="Arial"/>
        </w:rPr>
      </w:pPr>
      <w:r>
        <w:rPr>
          <w:rFonts w:ascii="Arial" w:hAnsi="Arial"/>
        </w:rPr>
        <w:lastRenderedPageBreak/>
        <w:t>O ordenamento jurídico atribui às partes a responsabilidade primordial pela impulsão do processo, cabendo-lhes apresentar os dados e informações necessários para que o Judiciário possa atuar. A busca de endereço, antes de se converter em uma solicitação ao juízo, representa uma obrigação primária do litigante, que deve esgotar os meios disponíveis em sua esfera de atuação antes de pleitear a intervenção estatal. A compreensão do princípio da cooperação, sob essa ótica, exige que a parte demonstre um esforço proativo e substancial na coleta de dados, de modo a justificar e legitimar a intervenção subsidiária do aparato judicial.</w:t>
      </w:r>
    </w:p>
    <w:p w:rsidR="002E71E6" w:rsidRDefault="002E71E6" w:rsidP="002E71E6">
      <w:pPr>
        <w:pStyle w:val="Textbody"/>
        <w:spacing w:after="142"/>
        <w:jc w:val="both"/>
        <w:rPr>
          <w:rFonts w:ascii="Arial" w:hAnsi="Arial"/>
        </w:rPr>
      </w:pPr>
      <w:r>
        <w:rPr>
          <w:rFonts w:ascii="Arial" w:hAnsi="Arial"/>
        </w:rPr>
        <w:t>A parte Autora, no caso em tela, é uma instituição que opera no mercado de crédito e que, por sua própria natureza e atividade econômica, assume um conjunto de riscos inerentes à concessão de financiamentos, empréstimos ou outras operações creditícias. A concessão de crédito não é uma atividade desprovida de riscos, e um dos mais elementares e previsíveis é justamente a eventual dificuldade na localização do devedor em caso de inadimplência ou necessidade de acionamento judicial.</w:t>
      </w:r>
    </w:p>
    <w:p w:rsidR="002E71E6" w:rsidRDefault="002E71E6" w:rsidP="002E71E6">
      <w:pPr>
        <w:pStyle w:val="Textbody"/>
        <w:spacing w:after="142"/>
        <w:jc w:val="both"/>
        <w:rPr>
          <w:rFonts w:ascii="Arial" w:hAnsi="Arial"/>
        </w:rPr>
      </w:pPr>
      <w:r>
        <w:rPr>
          <w:rFonts w:ascii="Arial" w:hAnsi="Arial"/>
        </w:rPr>
        <w:t xml:space="preserve">Nesse contexto, impõe-se à instituição credora o dever fundamental de manter um cadastro atualizado e fidedigno de seus contratantes. Este dever não surge apenas no momento da propositura da ação judicial, mas sim desde a fase </w:t>
      </w:r>
      <w:proofErr w:type="spellStart"/>
      <w:r>
        <w:rPr>
          <w:rFonts w:ascii="Arial" w:hAnsi="Arial"/>
        </w:rPr>
        <w:t>pré</w:t>
      </w:r>
      <w:proofErr w:type="spellEnd"/>
      <w:r>
        <w:rPr>
          <w:rFonts w:ascii="Arial" w:hAnsi="Arial"/>
        </w:rPr>
        <w:t>-contratual e durante toda a vigência da relação negocial. A coleta, a verificação e a atualização periódica dos dados cadastrais dos clientes são etapas cruciais na gestão de risco de qualquer empresa do setor financeiro. É por meio dessas diligências que a instituição minimiza a possibilidade de se ver em situação de desamparo processual, como a impossibilidade de citação do devedor.</w:t>
      </w:r>
    </w:p>
    <w:p w:rsidR="002E71E6" w:rsidRDefault="002E71E6" w:rsidP="002E71E6">
      <w:pPr>
        <w:pStyle w:val="Textbody"/>
        <w:spacing w:after="142"/>
        <w:jc w:val="both"/>
        <w:rPr>
          <w:rFonts w:ascii="Arial" w:hAnsi="Arial"/>
        </w:rPr>
      </w:pPr>
      <w:r>
        <w:rPr>
          <w:rFonts w:ascii="Arial" w:hAnsi="Arial"/>
        </w:rPr>
        <w:t>O lucro auferido com a concessão de crédito pressupõe a assunção dos riscos a ela inerentes, inclusive o risco de não conseguir localizar o devedor em caso de necessidade. Transferir esse ônus ao Poder Judiciário, requerendo a utilização de ferramentas que acessam informações sigilosas para suprir uma deficiência cadastral própria, significa socializar um risco que deveria ser privatizado, diluindo-o no custo da máquina judiciária e, consequentemente, impactando a coletividade. Tal postura não se coaduna com os princípios da boa-fé objetiva, da lealdade processual e da responsabilidade inerente à exploração de atividade econômica.</w:t>
      </w:r>
    </w:p>
    <w:p w:rsidR="002E71E6" w:rsidRDefault="002E71E6" w:rsidP="002E71E6">
      <w:pPr>
        <w:pStyle w:val="Textbody"/>
        <w:spacing w:after="142"/>
        <w:jc w:val="both"/>
        <w:rPr>
          <w:rFonts w:ascii="Arial" w:hAnsi="Arial"/>
        </w:rPr>
      </w:pPr>
      <w:r>
        <w:rPr>
          <w:rFonts w:ascii="Arial" w:hAnsi="Arial"/>
        </w:rPr>
        <w:t>A instituição financeira, ao conceder crédito, deve realizar uma análise minuciosa da capacidade de pagamento do cliente e, igualmente, da sua capacidade de localização e identificação. Ignorar essa etapa essencial da gestão do relacionamento com o cliente, ou relegá-la a um plano secundário, para posteriormente demandar a intervenção judicial como um "atalho", não encontra amparo nos princípios que regem o sistema jurídico e a responsabilidade civil e processual. A deficiência cadastral é, em essência, um risco do próprio negócio, e não deve ser convertida em um problema a ser solucionado pelo aparato estatal em substituição às diligências que cabiam à própria empresa.</w:t>
      </w:r>
    </w:p>
    <w:p w:rsidR="002E71E6" w:rsidRDefault="002E71E6" w:rsidP="002E71E6">
      <w:pPr>
        <w:pStyle w:val="Textbody"/>
        <w:spacing w:after="142"/>
        <w:jc w:val="both"/>
        <w:rPr>
          <w:rFonts w:ascii="Arial" w:hAnsi="Arial"/>
        </w:rPr>
      </w:pPr>
      <w:r>
        <w:rPr>
          <w:rFonts w:ascii="Arial" w:hAnsi="Arial"/>
        </w:rPr>
        <w:lastRenderedPageBreak/>
        <w:t>Para que se justifique a intervenção do juízo na pesquisa de endereços por meio de sistemas como o SISBAJUD, a parte Autora deveria ter demonstrado, de forma inequívoca e pormenorizada, a realização de diligências como: a consulta a bancos de dados de proteção ao crédito (Serasa, SPC), a busca em cadastros de concessionárias de serviços públicos (água, luz, telefone fixo e móvel, internet), a averiguação em cartórios de registro civil e de imóveis (para verificar possíveis alterações de estado civil, aquisição ou alienação de bens), a tentativa de contato por outros meios fornecidos pelo próprio cliente no momento da contratação (telefones, e-mails, redes sociais), a inquirição a vizinhos e antigos contatos, e quaisquer outras pesquisas que pudessem, com razoabilidade e dentro dos limites da legalidade e da privacidade, levar à localização do demandado.</w:t>
      </w:r>
    </w:p>
    <w:p w:rsidR="002E71E6" w:rsidRDefault="002E71E6" w:rsidP="002E71E6">
      <w:pPr>
        <w:pStyle w:val="Textbody"/>
        <w:spacing w:after="142"/>
        <w:jc w:val="both"/>
        <w:rPr>
          <w:rFonts w:ascii="Arial" w:hAnsi="Arial"/>
        </w:rPr>
      </w:pPr>
      <w:r>
        <w:rPr>
          <w:rFonts w:ascii="Arial" w:hAnsi="Arial"/>
        </w:rPr>
        <w:t>A ausência de uma demonstração cabal de que tais esforços foram empreendidos de forma exaustiva e diligente leva à conclusão de que o pedido de acesso ao SISBAJUD para fins de pesquisa de endereço se mostra prematuro e desprovido da excepcionalidade que a medida exige. A intervenção judicial nesses casos possui caráter subsidiário e complementar, e não primário ou substitutivo das incumbências da parte.</w:t>
      </w:r>
    </w:p>
    <w:p w:rsidR="002E71E6" w:rsidRDefault="002E71E6" w:rsidP="002E71E6">
      <w:pPr>
        <w:pStyle w:val="Textbody"/>
        <w:spacing w:after="142"/>
        <w:jc w:val="both"/>
        <w:rPr>
          <w:rFonts w:ascii="Arial" w:hAnsi="Arial"/>
        </w:rPr>
      </w:pPr>
      <w:r>
        <w:rPr>
          <w:rFonts w:ascii="Arial" w:hAnsi="Arial"/>
        </w:rPr>
        <w:t>O Poder Judiciário, em sua estrutura e finalidade constitucional, não se presta à função de suprir lacunas na gestão cadastral de empresas privadas, nem de atuar como uma agência de inteligência ou de investigação particular. A utilização indiscriminada de sistemas judiciais para fins de pesquisa de endereços, sem a prévia e robusta comprovação de esgotamento das vias próprias da parte, implica em um desvio de finalidade da prestação jurisdicional e em um desperdício de recursos públicos.</w:t>
      </w:r>
    </w:p>
    <w:p w:rsidR="002E71E6" w:rsidRDefault="002E71E6" w:rsidP="002E71E6">
      <w:pPr>
        <w:pStyle w:val="Textbody"/>
        <w:spacing w:after="142"/>
        <w:jc w:val="both"/>
        <w:rPr>
          <w:rFonts w:ascii="Arial" w:hAnsi="Arial"/>
        </w:rPr>
      </w:pPr>
      <w:r>
        <w:rPr>
          <w:rFonts w:ascii="Arial" w:hAnsi="Arial"/>
        </w:rPr>
        <w:t>A máquina judiciária, já sobrecarregada com um volume expressivo de demandas, não pode ter seus esforços direcionados a tarefas que, por princípio, competem às partes. A efetividade da jurisdição é alcançada quando cada sujeito processual cumpre seu papel com a devida diligência, contribuindo para a rápida e justa solução dos litígios. A transferência indevida de ônus processuais para o Judiciário, além de retardar o andamento de outros processos, compromete a própria credibilidade do sistema de justiça, que deve ser percebido como um órgão imparcial e eficiente na solução de conflitos, e não como um mero facilitador de informações cadastrais para o setor privado.</w:t>
      </w:r>
    </w:p>
    <w:p w:rsidR="002E71E6" w:rsidRDefault="002E71E6" w:rsidP="002E71E6">
      <w:pPr>
        <w:pStyle w:val="Textbody"/>
        <w:spacing w:after="142"/>
        <w:jc w:val="both"/>
        <w:rPr>
          <w:rFonts w:ascii="Arial" w:hAnsi="Arial"/>
        </w:rPr>
      </w:pPr>
      <w:r>
        <w:rPr>
          <w:rFonts w:ascii="Arial" w:hAnsi="Arial"/>
        </w:rPr>
        <w:t>A responsabilidade da parte em fornecer o endereço para a citação é parte do ônus de cumprir os requisitos da petição inicial, ônus este que é mantido ao longo do processo. Não se trata de mera faculdade, mas dever fundamental para o trâmite processual. Permitir que o Judiciário, desde logo, adote o papel de investigador significaria desonerar o autor de um pressuposto fundamental para o regular andamento do feito, incentivando o ajuizamento de ações sem o devido preparo prévio e a pesquisa mínima essencial.</w:t>
      </w:r>
    </w:p>
    <w:p w:rsidR="002E71E6" w:rsidRDefault="002E71E6" w:rsidP="002E71E6">
      <w:pPr>
        <w:pStyle w:val="Textbody"/>
        <w:spacing w:after="142"/>
        <w:jc w:val="both"/>
        <w:rPr>
          <w:rFonts w:hint="eastAsia"/>
        </w:rPr>
      </w:pPr>
      <w:r>
        <w:rPr>
          <w:rFonts w:ascii="Arial" w:hAnsi="Arial"/>
        </w:rPr>
        <w:lastRenderedPageBreak/>
        <w:t xml:space="preserve">Diante do exposto, por verificar que a pretensão da parte autora configura tentativa de transferir ao Judiciário dever que lhe é próprio, </w:t>
      </w:r>
      <w:r>
        <w:rPr>
          <w:rStyle w:val="StrongEmphasis"/>
          <w:rFonts w:ascii="Arial" w:hAnsi="Arial"/>
        </w:rPr>
        <w:t>indefiro o pedido de pesquisa aos sistemas conveniados</w:t>
      </w:r>
      <w:r>
        <w:rPr>
          <w:rFonts w:ascii="Arial" w:hAnsi="Arial"/>
        </w:rPr>
        <w:t xml:space="preserve"> formulado, mantendo-se a responsabilidade do requerente pela localização da ré.</w:t>
      </w:r>
    </w:p>
    <w:p w:rsidR="002E71E6" w:rsidRDefault="002E71E6" w:rsidP="002E71E6">
      <w:pPr>
        <w:pStyle w:val="Standard"/>
        <w:jc w:val="both"/>
        <w:rPr>
          <w:rFonts w:ascii="Arial" w:hAnsi="Arial"/>
          <w:b/>
          <w:bCs/>
        </w:rPr>
      </w:pPr>
      <w:r>
        <w:rPr>
          <w:rFonts w:ascii="Arial" w:hAnsi="Arial"/>
          <w:b/>
          <w:bCs/>
        </w:rPr>
        <w:t>3.DISPOSITIVO</w:t>
      </w:r>
    </w:p>
    <w:p w:rsidR="002E71E6" w:rsidRDefault="002E71E6" w:rsidP="002E71E6">
      <w:pPr>
        <w:pStyle w:val="Standard"/>
        <w:jc w:val="both"/>
        <w:rPr>
          <w:rFonts w:ascii="Arial" w:hAnsi="Arial"/>
        </w:rPr>
      </w:pPr>
      <w:r>
        <w:rPr>
          <w:rFonts w:ascii="Arial" w:hAnsi="Arial"/>
        </w:rPr>
        <w:t xml:space="preserve"> </w:t>
      </w:r>
    </w:p>
    <w:p w:rsidR="002E71E6" w:rsidRDefault="002E71E6" w:rsidP="002E71E6">
      <w:pPr>
        <w:pStyle w:val="Textbody"/>
        <w:spacing w:after="142"/>
        <w:jc w:val="both"/>
        <w:rPr>
          <w:rFonts w:ascii="Arial" w:hAnsi="Arial"/>
        </w:rPr>
      </w:pPr>
      <w:r>
        <w:rPr>
          <w:rFonts w:ascii="Arial" w:hAnsi="Arial"/>
        </w:rPr>
        <w:t>Diante de todo o exposto, e em estrita observância à distribuição do ônus processual, bem como à natureza subsidiária e excepcional da intervenção do Poder Judiciário na localização de partes:</w:t>
      </w:r>
    </w:p>
    <w:p w:rsidR="002E71E6" w:rsidRDefault="002E71E6" w:rsidP="002E71E6">
      <w:pPr>
        <w:pStyle w:val="Textbody"/>
        <w:spacing w:after="142"/>
        <w:jc w:val="both"/>
        <w:rPr>
          <w:rFonts w:hint="eastAsia"/>
        </w:rPr>
      </w:pPr>
      <w:r>
        <w:rPr>
          <w:rFonts w:ascii="Arial" w:hAnsi="Arial"/>
        </w:rPr>
        <w:t xml:space="preserve">3.1. </w:t>
      </w:r>
      <w:r>
        <w:rPr>
          <w:rFonts w:ascii="Arial" w:hAnsi="Arial"/>
          <w:b/>
        </w:rPr>
        <w:t>INDEFIRO</w:t>
      </w:r>
      <w:r>
        <w:rPr>
          <w:rFonts w:ascii="Arial" w:hAnsi="Arial"/>
        </w:rPr>
        <w:t xml:space="preserve"> o pedido formulado pela parte Requerente de utilização imediata dos sistemas eletrônicos de pesquisa de endereços (SISBAJUD, INFOJUD, RENAJUD, SIEL, etc.) para localização do Requerido.</w:t>
      </w:r>
    </w:p>
    <w:p w:rsidR="002E71E6" w:rsidRDefault="002E71E6" w:rsidP="002E71E6">
      <w:pPr>
        <w:pStyle w:val="Textbody"/>
        <w:spacing w:after="142"/>
        <w:jc w:val="both"/>
        <w:rPr>
          <w:rFonts w:hint="eastAsia"/>
        </w:rPr>
      </w:pPr>
      <w:r>
        <w:rPr>
          <w:rFonts w:ascii="Arial" w:hAnsi="Arial"/>
        </w:rPr>
        <w:t>3.2.</w:t>
      </w:r>
      <w:r>
        <w:rPr>
          <w:rFonts w:ascii="Arial" w:hAnsi="Arial"/>
          <w:b/>
        </w:rPr>
        <w:t xml:space="preserve"> DETERMINO</w:t>
      </w:r>
      <w:r>
        <w:rPr>
          <w:rFonts w:ascii="Arial" w:hAnsi="Arial"/>
        </w:rPr>
        <w:t xml:space="preserve"> a intimação da parte Requerente, por seu procurador, para que, no prazo improrrogável de 15 (quinze) dias, promova as diligências necessárias para obter o endereço atualizado do Requerido ou, alternativamente, comprove nos autos o efetivo e inequívoco esgotamento dos meios extrajudiciais de busca.</w:t>
      </w:r>
    </w:p>
    <w:p w:rsidR="002E71E6" w:rsidRDefault="002E71E6" w:rsidP="002E71E6">
      <w:pPr>
        <w:pStyle w:val="Textbody"/>
        <w:spacing w:after="142"/>
        <w:jc w:val="both"/>
        <w:rPr>
          <w:rFonts w:ascii="Arial" w:hAnsi="Arial"/>
        </w:rPr>
      </w:pPr>
      <w:r>
        <w:rPr>
          <w:rFonts w:ascii="Arial" w:hAnsi="Arial"/>
        </w:rPr>
        <w:t>A comprovação do esgotamento deve ser realizada mediante a juntada de documentos que demonstrem as diligências realizadas (por exemplo, negativas de órgãos públicos, tentativas de consulta a bancos de dados de acesso público, etc.), sob pena de indeferimento da inicial, se cabível à fase, ou extinção do feito sem resolução do mérito, por falta de pressuposto de desenvolvimento válido e regular do processo, ressalvada a possibilidade de requerimento de citação por edital, caso devidamente fundamentado e comprovada a situação de réu em local ignorado ou incerto, nos termos da lei.</w:t>
      </w:r>
    </w:p>
    <w:p w:rsidR="002E71E6" w:rsidRDefault="002E71E6" w:rsidP="002E71E6">
      <w:pPr>
        <w:pStyle w:val="Textbody"/>
        <w:spacing w:after="142"/>
        <w:jc w:val="both"/>
        <w:rPr>
          <w:rFonts w:ascii="Arial" w:hAnsi="Arial"/>
        </w:rPr>
      </w:pPr>
      <w:r>
        <w:rPr>
          <w:rFonts w:ascii="Arial" w:hAnsi="Arial"/>
        </w:rPr>
        <w:t>Cumpra-se.</w:t>
      </w:r>
    </w:p>
    <w:p w:rsidR="00F2350D" w:rsidRPr="0071266E" w:rsidRDefault="00F2350D" w:rsidP="0071266E">
      <w:pPr>
        <w:jc w:val="both"/>
        <w:rPr>
          <w:rFonts w:ascii="Arial" w:hAnsi="Arial" w:cs="Arial"/>
          <w:sz w:val="24"/>
          <w:szCs w:val="24"/>
        </w:rPr>
      </w:pPr>
    </w:p>
    <w:sectPr w:rsidR="00F2350D" w:rsidRPr="007126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66E"/>
    <w:rsid w:val="002E2B58"/>
    <w:rsid w:val="002E71E6"/>
    <w:rsid w:val="003E0EF4"/>
    <w:rsid w:val="0071266E"/>
    <w:rsid w:val="00F235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0D31"/>
  <w15:chartTrackingRefBased/>
  <w15:docId w15:val="{72A30D1F-9DDB-425A-9507-23BDDD41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body"/>
    <w:link w:val="Ttulo1Char"/>
    <w:rsid w:val="002E71E6"/>
    <w:pPr>
      <w:keepNext/>
      <w:suppressAutoHyphens/>
      <w:autoSpaceDN w:val="0"/>
      <w:spacing w:before="240" w:after="120" w:line="240" w:lineRule="auto"/>
      <w:textAlignment w:val="baseline"/>
      <w:outlineLvl w:val="0"/>
    </w:pPr>
    <w:rPr>
      <w:rFonts w:ascii="Liberation Serif" w:eastAsia="NSimSun" w:hAnsi="Liberation Serif" w:cs="Lucida Sans"/>
      <w:b/>
      <w:bCs/>
      <w:kern w:val="3"/>
      <w:sz w:val="48"/>
      <w:szCs w:val="48"/>
      <w:lang w:eastAsia="zh-CN" w:bidi="hi-IN"/>
    </w:rPr>
  </w:style>
  <w:style w:type="paragraph" w:styleId="Ttulo2">
    <w:name w:val="heading 2"/>
    <w:basedOn w:val="Normal"/>
    <w:next w:val="Textbody"/>
    <w:link w:val="Ttulo2Char"/>
    <w:rsid w:val="002E71E6"/>
    <w:pPr>
      <w:keepNext/>
      <w:suppressAutoHyphens/>
      <w:autoSpaceDN w:val="0"/>
      <w:spacing w:before="200" w:after="120" w:line="240" w:lineRule="auto"/>
      <w:textAlignment w:val="baseline"/>
      <w:outlineLvl w:val="1"/>
    </w:pPr>
    <w:rPr>
      <w:rFonts w:ascii="Liberation Serif" w:eastAsia="NSimSun" w:hAnsi="Liberation Serif" w:cs="Lucida Sans"/>
      <w:b/>
      <w:bCs/>
      <w:kern w:val="3"/>
      <w:sz w:val="36"/>
      <w:szCs w:val="36"/>
      <w:lang w:eastAsia="zh-CN" w:bidi="hi-I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E71E6"/>
    <w:rPr>
      <w:rFonts w:ascii="Liberation Serif" w:eastAsia="NSimSun" w:hAnsi="Liberation Serif" w:cs="Lucida Sans"/>
      <w:b/>
      <w:bCs/>
      <w:kern w:val="3"/>
      <w:sz w:val="48"/>
      <w:szCs w:val="48"/>
      <w:lang w:eastAsia="zh-CN" w:bidi="hi-IN"/>
    </w:rPr>
  </w:style>
  <w:style w:type="character" w:customStyle="1" w:styleId="Ttulo2Char">
    <w:name w:val="Título 2 Char"/>
    <w:basedOn w:val="Fontepargpadro"/>
    <w:link w:val="Ttulo2"/>
    <w:rsid w:val="002E71E6"/>
    <w:rPr>
      <w:rFonts w:ascii="Liberation Serif" w:eastAsia="NSimSun" w:hAnsi="Liberation Serif" w:cs="Lucida Sans"/>
      <w:b/>
      <w:bCs/>
      <w:kern w:val="3"/>
      <w:sz w:val="36"/>
      <w:szCs w:val="36"/>
      <w:lang w:eastAsia="zh-CN" w:bidi="hi-IN"/>
    </w:rPr>
  </w:style>
  <w:style w:type="paragraph" w:customStyle="1" w:styleId="Standard">
    <w:name w:val="Standard"/>
    <w:rsid w:val="002E71E6"/>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2E71E6"/>
    <w:pPr>
      <w:spacing w:after="140" w:line="276" w:lineRule="auto"/>
    </w:pPr>
  </w:style>
  <w:style w:type="character" w:customStyle="1" w:styleId="StrongEmphasis">
    <w:name w:val="Strong Emphasis"/>
    <w:rsid w:val="002E7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1571</Words>
  <Characters>8487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2026-06-30T18:45:00Z</dcterms:created>
  <dcterms:modified xsi:type="dcterms:W3CDTF">2026-06-30T18:50:00Z</dcterms:modified>
</cp:coreProperties>
</file>