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bCs/>
          <w:sz w:val="24"/>
          <w:szCs w:val="24"/>
          <w:lang w:eastAsia="pt-BR"/>
        </w:rPr>
        <w:t xml:space="preserve">PROCESSO Nº </w:t>
      </w:r>
      <w:r w:rsidRPr="00023E13">
        <w:rPr>
          <w:rFonts w:ascii="Arial" w:eastAsia="Times New Roman" w:hAnsi="Arial" w:cs="Arial"/>
          <w:sz w:val="24"/>
          <w:szCs w:val="24"/>
          <w:lang w:eastAsia="pt-BR"/>
        </w:rPr>
        <w:t>0897759-60.2025.8.14.0301</w:t>
      </w:r>
    </w:p>
    <w:p w:rsidR="00023E13" w:rsidRPr="00023E13" w:rsidRDefault="00023E13" w:rsidP="00023E13">
      <w:pPr>
        <w:spacing w:before="240" w:after="240" w:line="240" w:lineRule="auto"/>
        <w:jc w:val="both"/>
        <w:rPr>
          <w:rFonts w:ascii="Arial" w:eastAsia="Times New Roman" w:hAnsi="Arial" w:cs="Arial"/>
          <w:sz w:val="24"/>
          <w:szCs w:val="24"/>
          <w:lang w:eastAsia="pt-BR"/>
        </w:rPr>
      </w:pPr>
      <w:r w:rsidRPr="00023E13">
        <w:rPr>
          <w:rFonts w:ascii="Arial" w:eastAsia="Times New Roman" w:hAnsi="Arial" w:cs="Arial"/>
          <w:b/>
          <w:bCs/>
          <w:sz w:val="24"/>
          <w:szCs w:val="24"/>
          <w:lang w:eastAsia="pt-BR"/>
        </w:rPr>
        <w:t>DECISÃO</w:t>
      </w:r>
    </w:p>
    <w:p w:rsidR="00023E13" w:rsidRPr="00023E13" w:rsidRDefault="00023E13" w:rsidP="00023E13">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023E13">
        <w:rPr>
          <w:rFonts w:ascii="Arial" w:eastAsia="Times New Roman" w:hAnsi="Arial" w:cs="Arial"/>
          <w:b/>
          <w:bCs/>
          <w:kern w:val="36"/>
          <w:sz w:val="24"/>
          <w:szCs w:val="24"/>
          <w:lang w:eastAsia="pt-BR"/>
        </w:rPr>
        <w:t>1. RELATÓRIO</w:t>
      </w:r>
    </w:p>
    <w:p w:rsidR="00023E13" w:rsidRPr="00023E13" w:rsidRDefault="00023E13" w:rsidP="00023E13">
      <w:pPr>
        <w:spacing w:before="240" w:after="240" w:line="240" w:lineRule="auto"/>
        <w:jc w:val="both"/>
        <w:rPr>
          <w:rFonts w:ascii="Arial" w:eastAsia="Times New Roman" w:hAnsi="Arial" w:cs="Arial"/>
          <w:sz w:val="24"/>
          <w:szCs w:val="24"/>
          <w:lang w:eastAsia="pt-BR"/>
        </w:rPr>
      </w:pPr>
      <w:bookmarkStart w:id="0" w:name="_GoBack"/>
      <w:bookmarkEnd w:id="0"/>
      <w:r w:rsidRPr="00023E13">
        <w:rPr>
          <w:rFonts w:ascii="Arial" w:eastAsia="Times New Roman" w:hAnsi="Arial" w:cs="Arial"/>
          <w:sz w:val="24"/>
          <w:szCs w:val="24"/>
          <w:lang w:eastAsia="pt-BR"/>
        </w:rPr>
        <w:t xml:space="preserve">Trata-se de </w:t>
      </w:r>
      <w:r w:rsidRPr="00023E13">
        <w:rPr>
          <w:rFonts w:ascii="Arial" w:eastAsia="Times New Roman" w:hAnsi="Arial" w:cs="Arial"/>
          <w:b/>
          <w:bCs/>
          <w:sz w:val="24"/>
          <w:szCs w:val="24"/>
          <w:lang w:eastAsia="pt-BR"/>
        </w:rPr>
        <w:t>PEDIDO DE ALVARÁ JUDICIAL</w:t>
      </w:r>
      <w:r w:rsidRPr="00023E13">
        <w:rPr>
          <w:rFonts w:ascii="Arial" w:eastAsia="Times New Roman" w:hAnsi="Arial" w:cs="Arial"/>
          <w:sz w:val="24"/>
          <w:szCs w:val="24"/>
          <w:lang w:eastAsia="pt-BR"/>
        </w:rPr>
        <w:t xml:space="preserve"> ajuizado por </w:t>
      </w:r>
      <w:r w:rsidRPr="00023E13">
        <w:rPr>
          <w:rFonts w:ascii="Arial" w:eastAsia="Times New Roman" w:hAnsi="Arial" w:cs="Arial"/>
          <w:b/>
          <w:bCs/>
          <w:sz w:val="24"/>
          <w:szCs w:val="24"/>
          <w:lang w:eastAsia="pt-BR"/>
        </w:rPr>
        <w:t>GEORGE MONTEIRO</w:t>
      </w:r>
      <w:r w:rsidRPr="00023E13">
        <w:rPr>
          <w:rFonts w:ascii="Arial" w:eastAsia="Times New Roman" w:hAnsi="Arial" w:cs="Arial"/>
          <w:sz w:val="24"/>
          <w:szCs w:val="24"/>
          <w:lang w:eastAsia="pt-BR"/>
        </w:rPr>
        <w:t xml:space="preserve">, devidamente qualificado nos autos, em 11 de novembro de 2025, por meio da petição inicial de </w:t>
      </w:r>
      <w:r w:rsidRPr="00023E13">
        <w:rPr>
          <w:rFonts w:ascii="Arial" w:eastAsia="Times New Roman" w:hAnsi="Arial" w:cs="Arial"/>
          <w:b/>
          <w:bCs/>
          <w:sz w:val="24"/>
          <w:szCs w:val="24"/>
          <w:lang w:eastAsia="pt-BR"/>
        </w:rPr>
        <w:t>ID 160961629</w:t>
      </w:r>
      <w:r w:rsidRPr="00023E13">
        <w:rPr>
          <w:rFonts w:ascii="Arial" w:eastAsia="Times New Roman" w:hAnsi="Arial" w:cs="Arial"/>
          <w:sz w:val="24"/>
          <w:szCs w:val="24"/>
          <w:lang w:eastAsia="pt-BR"/>
        </w:rPr>
        <w:t xml:space="preserve">. O requerente busca autorização para levantar valores que teriam sido deixados por sua falecida genitora, a Sra. </w:t>
      </w:r>
      <w:r w:rsidRPr="00023E13">
        <w:rPr>
          <w:rFonts w:ascii="Arial" w:eastAsia="Times New Roman" w:hAnsi="Arial" w:cs="Arial"/>
          <w:b/>
          <w:bCs/>
          <w:sz w:val="24"/>
          <w:szCs w:val="24"/>
          <w:lang w:eastAsia="pt-BR"/>
        </w:rPr>
        <w:t>ODINEA RAIMUNDA MONTEIRO</w:t>
      </w:r>
      <w:r w:rsidRPr="00023E13">
        <w:rPr>
          <w:rFonts w:ascii="Arial" w:eastAsia="Times New Roman" w:hAnsi="Arial" w:cs="Arial"/>
          <w:sz w:val="24"/>
          <w:szCs w:val="24"/>
          <w:lang w:eastAsia="pt-BR"/>
        </w:rPr>
        <w:t xml:space="preserve">, que veio a óbito em 15 de agosto de 2007, conforme certidão de óbito de </w:t>
      </w:r>
      <w:r w:rsidRPr="00023E13">
        <w:rPr>
          <w:rFonts w:ascii="Arial" w:eastAsia="Times New Roman" w:hAnsi="Arial" w:cs="Arial"/>
          <w:b/>
          <w:bCs/>
          <w:sz w:val="24"/>
          <w:szCs w:val="24"/>
          <w:lang w:eastAsia="pt-BR"/>
        </w:rPr>
        <w:t>ID 160965246</w:t>
      </w:r>
      <w:r w:rsidRPr="00023E13">
        <w:rPr>
          <w:rFonts w:ascii="Arial" w:eastAsia="Times New Roman" w:hAnsi="Arial" w:cs="Arial"/>
          <w:sz w:val="24"/>
          <w:szCs w:val="24"/>
          <w:lang w:eastAsia="pt-BR"/>
        </w:rPr>
        <w:t>.</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Na peça inaugural, o autor alega ser o único herdeiro da falecida, condição que busca comprovar por meio da certidão de óbito, que o menciona como filho (</w:t>
      </w:r>
      <w:r w:rsidRPr="00023E13">
        <w:rPr>
          <w:rFonts w:ascii="Arial" w:eastAsia="Times New Roman" w:hAnsi="Arial" w:cs="Arial"/>
          <w:b/>
          <w:bCs/>
          <w:sz w:val="24"/>
          <w:szCs w:val="24"/>
          <w:lang w:eastAsia="pt-BR"/>
        </w:rPr>
        <w:t>ID 160965246</w:t>
      </w:r>
      <w:r w:rsidRPr="00023E13">
        <w:rPr>
          <w:rFonts w:ascii="Arial" w:eastAsia="Times New Roman" w:hAnsi="Arial" w:cs="Arial"/>
          <w:sz w:val="24"/>
          <w:szCs w:val="24"/>
          <w:lang w:eastAsia="pt-BR"/>
        </w:rPr>
        <w:t>), e de uma declaração de inexistência de outros herdeiros (</w:t>
      </w:r>
      <w:r w:rsidRPr="00023E13">
        <w:rPr>
          <w:rFonts w:ascii="Arial" w:eastAsia="Times New Roman" w:hAnsi="Arial" w:cs="Arial"/>
          <w:b/>
          <w:bCs/>
          <w:sz w:val="24"/>
          <w:szCs w:val="24"/>
          <w:lang w:eastAsia="pt-BR"/>
        </w:rPr>
        <w:t>ID 160965248</w:t>
      </w:r>
      <w:r w:rsidRPr="00023E13">
        <w:rPr>
          <w:rFonts w:ascii="Arial" w:eastAsia="Times New Roman" w:hAnsi="Arial" w:cs="Arial"/>
          <w:sz w:val="24"/>
          <w:szCs w:val="24"/>
          <w:lang w:eastAsia="pt-BR"/>
        </w:rPr>
        <w:t xml:space="preserve">). Afirma que, após o falecimento, sua mãe passou a ter direito a créditos de natureza alimentar, consubstanciados em dois precatórios judiciais expedidos pelo Estado do Pará. Tais créditos, segundo o requerente, correspondem a um valor original de R$ 21.318,00 referente ao precatório de 2024, e R$ 30.780,00 referente ao precatório de 2025, totalizando, na data do ajuizamento, a quantia aproximada de R$ 52.846,58. Para sustentar a existência dos créditos, junta a listagem de </w:t>
      </w:r>
      <w:r w:rsidRPr="00023E13">
        <w:rPr>
          <w:rFonts w:ascii="Arial" w:eastAsia="Times New Roman" w:hAnsi="Arial" w:cs="Arial"/>
          <w:b/>
          <w:bCs/>
          <w:sz w:val="24"/>
          <w:szCs w:val="24"/>
          <w:lang w:eastAsia="pt-BR"/>
        </w:rPr>
        <w:t>ID 160965244</w:t>
      </w:r>
      <w:r w:rsidRPr="00023E13">
        <w:rPr>
          <w:rFonts w:ascii="Arial" w:eastAsia="Times New Roman" w:hAnsi="Arial" w:cs="Arial"/>
          <w:sz w:val="24"/>
          <w:szCs w:val="24"/>
          <w:lang w:eastAsia="pt-BR"/>
        </w:rPr>
        <w:t>. Ao final, pleiteia a concessão dos benefícios da justiça gratuita e a expedição do competente alvará judicial para o levantamento integral dos valores.</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Em 29 de dezembro de 2025, a advogada </w:t>
      </w:r>
      <w:r w:rsidRPr="00023E13">
        <w:rPr>
          <w:rFonts w:ascii="Arial" w:eastAsia="Times New Roman" w:hAnsi="Arial" w:cs="Arial"/>
          <w:b/>
          <w:bCs/>
          <w:sz w:val="24"/>
          <w:szCs w:val="24"/>
          <w:lang w:eastAsia="pt-BR"/>
        </w:rPr>
        <w:t>MÔNICA ARAÚJO MIRANDA</w:t>
      </w:r>
      <w:r w:rsidRPr="00023E13">
        <w:rPr>
          <w:rFonts w:ascii="Arial" w:eastAsia="Times New Roman" w:hAnsi="Arial" w:cs="Arial"/>
          <w:sz w:val="24"/>
          <w:szCs w:val="24"/>
          <w:lang w:eastAsia="pt-BR"/>
        </w:rPr>
        <w:t xml:space="preserve"> protocolou a petição de </w:t>
      </w:r>
      <w:r w:rsidRPr="00023E13">
        <w:rPr>
          <w:rFonts w:ascii="Arial" w:eastAsia="Times New Roman" w:hAnsi="Arial" w:cs="Arial"/>
          <w:b/>
          <w:bCs/>
          <w:sz w:val="24"/>
          <w:szCs w:val="24"/>
          <w:lang w:eastAsia="pt-BR"/>
        </w:rPr>
        <w:t>ID 165102171</w:t>
      </w:r>
      <w:r w:rsidRPr="00023E13">
        <w:rPr>
          <w:rFonts w:ascii="Arial" w:eastAsia="Times New Roman" w:hAnsi="Arial" w:cs="Arial"/>
          <w:sz w:val="24"/>
          <w:szCs w:val="24"/>
          <w:lang w:eastAsia="pt-BR"/>
        </w:rPr>
        <w:t xml:space="preserve">, na qualidade de terceira interessada. Na referida manifestação, noticiou a existência de um crédito de honorários advocatícios sucumbenciais em seu favor e em desfavor do requerente, GEORGE MONTEIRO, oriundo do Cumprimento de Sentença em trâmite no Processo nº 0018412-36.2010.8.14.0301, que também tramita perante este Juízo da 11ª Vara Cível e Empresarial de Belém. A credora afirma que o débito atualizado atinge o montante de </w:t>
      </w:r>
      <w:r w:rsidRPr="00023E13">
        <w:rPr>
          <w:rFonts w:ascii="Arial" w:eastAsia="Times New Roman" w:hAnsi="Arial" w:cs="Arial"/>
          <w:b/>
          <w:bCs/>
          <w:sz w:val="24"/>
          <w:szCs w:val="24"/>
          <w:lang w:eastAsia="pt-BR"/>
        </w:rPr>
        <w:t>R$ 17.920,78</w:t>
      </w:r>
      <w:r w:rsidRPr="00023E13">
        <w:rPr>
          <w:rFonts w:ascii="Arial" w:eastAsia="Times New Roman" w:hAnsi="Arial" w:cs="Arial"/>
          <w:sz w:val="24"/>
          <w:szCs w:val="24"/>
          <w:lang w:eastAsia="pt-BR"/>
        </w:rPr>
        <w:t>, conforme planilha anexada (</w:t>
      </w:r>
      <w:r w:rsidRPr="00023E13">
        <w:rPr>
          <w:rFonts w:ascii="Arial" w:eastAsia="Times New Roman" w:hAnsi="Arial" w:cs="Arial"/>
          <w:b/>
          <w:bCs/>
          <w:sz w:val="24"/>
          <w:szCs w:val="24"/>
          <w:lang w:eastAsia="pt-BR"/>
        </w:rPr>
        <w:t>ID 165102175</w:t>
      </w:r>
      <w:r w:rsidRPr="00023E13">
        <w:rPr>
          <w:rFonts w:ascii="Arial" w:eastAsia="Times New Roman" w:hAnsi="Arial" w:cs="Arial"/>
          <w:sz w:val="24"/>
          <w:szCs w:val="24"/>
          <w:lang w:eastAsia="pt-BR"/>
        </w:rPr>
        <w:t xml:space="preserve">). Com base nisso, requereu a </w:t>
      </w:r>
      <w:r w:rsidRPr="00023E13">
        <w:rPr>
          <w:rFonts w:ascii="Arial" w:eastAsia="Times New Roman" w:hAnsi="Arial" w:cs="Arial"/>
          <w:b/>
          <w:bCs/>
          <w:sz w:val="24"/>
          <w:szCs w:val="24"/>
          <w:lang w:eastAsia="pt-BR"/>
        </w:rPr>
        <w:t>penhora no rosto destes autos</w:t>
      </w:r>
      <w:r w:rsidRPr="00023E13">
        <w:rPr>
          <w:rFonts w:ascii="Arial" w:eastAsia="Times New Roman" w:hAnsi="Arial" w:cs="Arial"/>
          <w:sz w:val="24"/>
          <w:szCs w:val="24"/>
          <w:lang w:eastAsia="pt-BR"/>
        </w:rPr>
        <w:t>, para garantir a satisfação de seu crédito, e a subsequente transferência do valor para o processo de execução.</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Por meio da </w:t>
      </w:r>
      <w:r w:rsidRPr="00023E13">
        <w:rPr>
          <w:rFonts w:ascii="Arial" w:eastAsia="Times New Roman" w:hAnsi="Arial" w:cs="Arial"/>
          <w:b/>
          <w:bCs/>
          <w:sz w:val="24"/>
          <w:szCs w:val="24"/>
          <w:lang w:eastAsia="pt-BR"/>
        </w:rPr>
        <w:t>decisão de ID 166985240</w:t>
      </w:r>
      <w:r w:rsidRPr="00023E13">
        <w:rPr>
          <w:rFonts w:ascii="Arial" w:eastAsia="Times New Roman" w:hAnsi="Arial" w:cs="Arial"/>
          <w:sz w:val="24"/>
          <w:szCs w:val="24"/>
          <w:lang w:eastAsia="pt-BR"/>
        </w:rPr>
        <w:t>, proferida em 03 de fevereiro de 2026, este Juízo deferiu o benefício da gratuidade da justiça ao requerente. No mesmo ato, embora tenha recebido o pedido de penhora no rosto dos autos, ponderou que sua efetivação dependeria da instauração do contraditório e da comprovação da disponibilidade dos valores objeto do alvará. Diante disso, determinou a intimação do requerente para se manifestar sobre o pedido de penhora, a intimação do Estado do Pará para informar sobre a existência e disponibilidade financeira dos precatórios, e suspendeu a análise do pedido principal de alvará até ulterior deliberação.</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Devidamente intimado, o requerente, GEORGE MONTEIRO, apresentou sua manifestação por meio da petição de </w:t>
      </w:r>
      <w:r w:rsidRPr="00023E13">
        <w:rPr>
          <w:rFonts w:ascii="Arial" w:eastAsia="Times New Roman" w:hAnsi="Arial" w:cs="Arial"/>
          <w:b/>
          <w:bCs/>
          <w:sz w:val="24"/>
          <w:szCs w:val="24"/>
          <w:lang w:eastAsia="pt-BR"/>
        </w:rPr>
        <w:t>ID 167761065</w:t>
      </w:r>
      <w:r w:rsidRPr="00023E13">
        <w:rPr>
          <w:rFonts w:ascii="Arial" w:eastAsia="Times New Roman" w:hAnsi="Arial" w:cs="Arial"/>
          <w:sz w:val="24"/>
          <w:szCs w:val="24"/>
          <w:lang w:eastAsia="pt-BR"/>
        </w:rPr>
        <w:t xml:space="preserve">, datada de 12 de fevereiro de 2026. Em sua defesa, opôs-se veementemente ao pedido de penhora, </w:t>
      </w:r>
      <w:r w:rsidRPr="00023E13">
        <w:rPr>
          <w:rFonts w:ascii="Arial" w:eastAsia="Times New Roman" w:hAnsi="Arial" w:cs="Arial"/>
          <w:sz w:val="24"/>
          <w:szCs w:val="24"/>
          <w:lang w:eastAsia="pt-BR"/>
        </w:rPr>
        <w:lastRenderedPageBreak/>
        <w:t xml:space="preserve">articulando, em suma, os seguintes argumentos: </w:t>
      </w:r>
      <w:r w:rsidRPr="00023E13">
        <w:rPr>
          <w:rFonts w:ascii="Arial" w:eastAsia="Times New Roman" w:hAnsi="Arial" w:cs="Arial"/>
          <w:b/>
          <w:bCs/>
          <w:sz w:val="24"/>
          <w:szCs w:val="24"/>
          <w:lang w:eastAsia="pt-BR"/>
        </w:rPr>
        <w:t>a) a prescrição quinquenal</w:t>
      </w:r>
      <w:r w:rsidRPr="00023E13">
        <w:rPr>
          <w:rFonts w:ascii="Arial" w:eastAsia="Times New Roman" w:hAnsi="Arial" w:cs="Arial"/>
          <w:sz w:val="24"/>
          <w:szCs w:val="24"/>
          <w:lang w:eastAsia="pt-BR"/>
        </w:rPr>
        <w:t xml:space="preserve"> da pretensão de cobrança dos honorários advocatícios, com fundamento no art. 25, II, da Lei nº 8.906/94 e na jurisprudência do Superior Tribunal de Justiça; </w:t>
      </w:r>
      <w:r w:rsidRPr="00023E13">
        <w:rPr>
          <w:rFonts w:ascii="Arial" w:eastAsia="Times New Roman" w:hAnsi="Arial" w:cs="Arial"/>
          <w:b/>
          <w:bCs/>
          <w:sz w:val="24"/>
          <w:szCs w:val="24"/>
          <w:lang w:eastAsia="pt-BR"/>
        </w:rPr>
        <w:t>b) a ausência de título executivo líquido, certo e exigível</w:t>
      </w:r>
      <w:r w:rsidRPr="00023E13">
        <w:rPr>
          <w:rFonts w:ascii="Arial" w:eastAsia="Times New Roman" w:hAnsi="Arial" w:cs="Arial"/>
          <w:sz w:val="24"/>
          <w:szCs w:val="24"/>
          <w:lang w:eastAsia="pt-BR"/>
        </w:rPr>
        <w:t xml:space="preserve">, uma vez que a credora não teria juntado cópia da sentença que fixou os honorários, a certidão de trânsito em julgado ou uma memória de cálculo detalhada; </w:t>
      </w:r>
      <w:r w:rsidRPr="00023E13">
        <w:rPr>
          <w:rFonts w:ascii="Arial" w:eastAsia="Times New Roman" w:hAnsi="Arial" w:cs="Arial"/>
          <w:b/>
          <w:bCs/>
          <w:sz w:val="24"/>
          <w:szCs w:val="24"/>
          <w:lang w:eastAsia="pt-BR"/>
        </w:rPr>
        <w:t>c) a inexistência de valor disponível para penhora</w:t>
      </w:r>
      <w:r w:rsidRPr="00023E13">
        <w:rPr>
          <w:rFonts w:ascii="Arial" w:eastAsia="Times New Roman" w:hAnsi="Arial" w:cs="Arial"/>
          <w:sz w:val="24"/>
          <w:szCs w:val="24"/>
          <w:lang w:eastAsia="pt-BR"/>
        </w:rPr>
        <w:t xml:space="preserve">, uma vez que os créditos do precatório ainda não foram depositados; e </w:t>
      </w:r>
      <w:r w:rsidRPr="00023E13">
        <w:rPr>
          <w:rFonts w:ascii="Arial" w:eastAsia="Times New Roman" w:hAnsi="Arial" w:cs="Arial"/>
          <w:b/>
          <w:bCs/>
          <w:sz w:val="24"/>
          <w:szCs w:val="24"/>
          <w:lang w:eastAsia="pt-BR"/>
        </w:rPr>
        <w:t>d) a prioridade constitucional do seu crédito alimentar</w:t>
      </w:r>
      <w:r w:rsidRPr="00023E13">
        <w:rPr>
          <w:rFonts w:ascii="Arial" w:eastAsia="Times New Roman" w:hAnsi="Arial" w:cs="Arial"/>
          <w:sz w:val="24"/>
          <w:szCs w:val="24"/>
          <w:lang w:eastAsia="pt-BR"/>
        </w:rPr>
        <w:t xml:space="preserve"> em detrimento dos honorários advocatícios, por se tratar de verba sucessória de natureza alimentar.</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Em cumprimento à determinação judicial, o </w:t>
      </w:r>
      <w:r w:rsidRPr="00023E13">
        <w:rPr>
          <w:rFonts w:ascii="Arial" w:eastAsia="Times New Roman" w:hAnsi="Arial" w:cs="Arial"/>
          <w:b/>
          <w:bCs/>
          <w:sz w:val="24"/>
          <w:szCs w:val="24"/>
          <w:lang w:eastAsia="pt-BR"/>
        </w:rPr>
        <w:t>Estado do Pará</w:t>
      </w:r>
      <w:r w:rsidRPr="00023E13">
        <w:rPr>
          <w:rFonts w:ascii="Arial" w:eastAsia="Times New Roman" w:hAnsi="Arial" w:cs="Arial"/>
          <w:sz w:val="24"/>
          <w:szCs w:val="24"/>
          <w:lang w:eastAsia="pt-BR"/>
        </w:rPr>
        <w:t xml:space="preserve">, por meio da Procuradoria-Geral do Estado, apresentou a manifestação e os documentos de </w:t>
      </w:r>
      <w:proofErr w:type="spellStart"/>
      <w:r w:rsidRPr="00023E13">
        <w:rPr>
          <w:rFonts w:ascii="Arial" w:eastAsia="Times New Roman" w:hAnsi="Arial" w:cs="Arial"/>
          <w:b/>
          <w:bCs/>
          <w:sz w:val="24"/>
          <w:szCs w:val="24"/>
          <w:lang w:eastAsia="pt-BR"/>
        </w:rPr>
        <w:t>IDs</w:t>
      </w:r>
      <w:proofErr w:type="spellEnd"/>
      <w:r w:rsidRPr="00023E13">
        <w:rPr>
          <w:rFonts w:ascii="Arial" w:eastAsia="Times New Roman" w:hAnsi="Arial" w:cs="Arial"/>
          <w:b/>
          <w:bCs/>
          <w:sz w:val="24"/>
          <w:szCs w:val="24"/>
          <w:lang w:eastAsia="pt-BR"/>
        </w:rPr>
        <w:t xml:space="preserve"> 167840282</w:t>
      </w:r>
      <w:r w:rsidRPr="00023E13">
        <w:rPr>
          <w:rFonts w:ascii="Arial" w:eastAsia="Times New Roman" w:hAnsi="Arial" w:cs="Arial"/>
          <w:sz w:val="24"/>
          <w:szCs w:val="24"/>
          <w:lang w:eastAsia="pt-BR"/>
        </w:rPr>
        <w:t xml:space="preserve"> e </w:t>
      </w:r>
      <w:r w:rsidRPr="00023E13">
        <w:rPr>
          <w:rFonts w:ascii="Arial" w:eastAsia="Times New Roman" w:hAnsi="Arial" w:cs="Arial"/>
          <w:b/>
          <w:bCs/>
          <w:sz w:val="24"/>
          <w:szCs w:val="24"/>
          <w:lang w:eastAsia="pt-BR"/>
        </w:rPr>
        <w:t>167840283</w:t>
      </w:r>
      <w:r w:rsidRPr="00023E13">
        <w:rPr>
          <w:rFonts w:ascii="Arial" w:eastAsia="Times New Roman" w:hAnsi="Arial" w:cs="Arial"/>
          <w:sz w:val="24"/>
          <w:szCs w:val="24"/>
          <w:lang w:eastAsia="pt-BR"/>
        </w:rPr>
        <w:t xml:space="preserve">, em 13 de fevereiro de 2026. Na petição, informou, com base em esclarecimentos técnicos da Secretaria de Estado de Educação (SEDUC), que os valores relacionados ao precatório do FUNDEF em nome da falecida </w:t>
      </w:r>
      <w:proofErr w:type="spellStart"/>
      <w:r w:rsidRPr="00023E13">
        <w:rPr>
          <w:rFonts w:ascii="Arial" w:eastAsia="Times New Roman" w:hAnsi="Arial" w:cs="Arial"/>
          <w:sz w:val="24"/>
          <w:szCs w:val="24"/>
          <w:lang w:eastAsia="pt-BR"/>
        </w:rPr>
        <w:t>Odinea</w:t>
      </w:r>
      <w:proofErr w:type="spellEnd"/>
      <w:r w:rsidRPr="00023E13">
        <w:rPr>
          <w:rFonts w:ascii="Arial" w:eastAsia="Times New Roman" w:hAnsi="Arial" w:cs="Arial"/>
          <w:sz w:val="24"/>
          <w:szCs w:val="24"/>
          <w:lang w:eastAsia="pt-BR"/>
        </w:rPr>
        <w:t xml:space="preserve"> Raimunda Monteiro foram apenas </w:t>
      </w:r>
      <w:r w:rsidRPr="00023E13">
        <w:rPr>
          <w:rFonts w:ascii="Arial" w:eastAsia="Times New Roman" w:hAnsi="Arial" w:cs="Arial"/>
          <w:b/>
          <w:bCs/>
          <w:sz w:val="24"/>
          <w:szCs w:val="24"/>
          <w:lang w:eastAsia="pt-BR"/>
        </w:rPr>
        <w:t>apurados administrativamente</w:t>
      </w:r>
      <w:r w:rsidRPr="00023E13">
        <w:rPr>
          <w:rFonts w:ascii="Arial" w:eastAsia="Times New Roman" w:hAnsi="Arial" w:cs="Arial"/>
          <w:sz w:val="24"/>
          <w:szCs w:val="24"/>
          <w:lang w:eastAsia="pt-BR"/>
        </w:rPr>
        <w:t xml:space="preserve">, mas que, </w:t>
      </w:r>
      <w:r w:rsidRPr="00023E13">
        <w:rPr>
          <w:rFonts w:ascii="Arial" w:eastAsia="Times New Roman" w:hAnsi="Arial" w:cs="Arial"/>
          <w:b/>
          <w:bCs/>
          <w:sz w:val="24"/>
          <w:szCs w:val="24"/>
          <w:lang w:eastAsia="pt-BR"/>
        </w:rPr>
        <w:t>até o presente momento, não houve depósito, liberação ou disponibilização financeira</w:t>
      </w:r>
      <w:r w:rsidRPr="00023E13">
        <w:rPr>
          <w:rFonts w:ascii="Arial" w:eastAsia="Times New Roman" w:hAnsi="Arial" w:cs="Arial"/>
          <w:sz w:val="24"/>
          <w:szCs w:val="24"/>
          <w:lang w:eastAsia="pt-BR"/>
        </w:rPr>
        <w:t xml:space="preserve">. A razão para tal, segundo o ente público, foi o </w:t>
      </w:r>
      <w:r w:rsidRPr="00023E13">
        <w:rPr>
          <w:rFonts w:ascii="Arial" w:eastAsia="Times New Roman" w:hAnsi="Arial" w:cs="Arial"/>
          <w:b/>
          <w:bCs/>
          <w:sz w:val="24"/>
          <w:szCs w:val="24"/>
          <w:lang w:eastAsia="pt-BR"/>
        </w:rPr>
        <w:t>indeferimento do pedido administrativo de habilitação</w:t>
      </w:r>
      <w:r w:rsidRPr="00023E13">
        <w:rPr>
          <w:rFonts w:ascii="Arial" w:eastAsia="Times New Roman" w:hAnsi="Arial" w:cs="Arial"/>
          <w:sz w:val="24"/>
          <w:szCs w:val="24"/>
          <w:lang w:eastAsia="pt-BR"/>
        </w:rPr>
        <w:t xml:space="preserve"> formulado pelo próprio herdeiro, GEORGE MONTEIRO, por ausência de apresentação da documentação obrigatória, o que </w:t>
      </w:r>
      <w:r w:rsidRPr="00023E13">
        <w:rPr>
          <w:rFonts w:ascii="Arial" w:eastAsia="Times New Roman" w:hAnsi="Arial" w:cs="Arial"/>
          <w:b/>
          <w:bCs/>
          <w:sz w:val="24"/>
          <w:szCs w:val="24"/>
          <w:lang w:eastAsia="pt-BR"/>
        </w:rPr>
        <w:t>inviabilizou o pagamento</w:t>
      </w:r>
      <w:r w:rsidRPr="00023E13">
        <w:rPr>
          <w:rFonts w:ascii="Arial" w:eastAsia="Times New Roman" w:hAnsi="Arial" w:cs="Arial"/>
          <w:sz w:val="24"/>
          <w:szCs w:val="24"/>
          <w:lang w:eastAsia="pt-BR"/>
        </w:rPr>
        <w:t xml:space="preserve"> dos valores.</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Os autos vieram conclusos para decisão sobre as questões pendentes.</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É o relatório. Passo a fundamentar e decidir.</w:t>
      </w:r>
    </w:p>
    <w:p w:rsidR="00023E13" w:rsidRPr="00023E13" w:rsidRDefault="00023E13" w:rsidP="00023E13">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023E13">
        <w:rPr>
          <w:rFonts w:ascii="Arial" w:eastAsia="Times New Roman" w:hAnsi="Arial" w:cs="Arial"/>
          <w:b/>
          <w:bCs/>
          <w:kern w:val="36"/>
          <w:sz w:val="24"/>
          <w:szCs w:val="24"/>
          <w:lang w:eastAsia="pt-BR"/>
        </w:rPr>
        <w:t>2. FUNDAMENTAÇÃO</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O presente feito encontra-se em fase de análise de questões incidentais que obstam, por ora, o exame do pedido principal. As controvérsias a serem dirimidas são: (i) a viabilidade do pedido de penhora no rosto dos autos formulado pela terceira interessada e (</w:t>
      </w:r>
      <w:proofErr w:type="spellStart"/>
      <w:r w:rsidRPr="00023E13">
        <w:rPr>
          <w:rFonts w:ascii="Arial" w:eastAsia="Times New Roman" w:hAnsi="Arial" w:cs="Arial"/>
          <w:sz w:val="24"/>
          <w:szCs w:val="24"/>
          <w:lang w:eastAsia="pt-BR"/>
        </w:rPr>
        <w:t>ii</w:t>
      </w:r>
      <w:proofErr w:type="spellEnd"/>
      <w:r w:rsidRPr="00023E13">
        <w:rPr>
          <w:rFonts w:ascii="Arial" w:eastAsia="Times New Roman" w:hAnsi="Arial" w:cs="Arial"/>
          <w:sz w:val="24"/>
          <w:szCs w:val="24"/>
          <w:lang w:eastAsia="pt-BR"/>
        </w:rPr>
        <w:t>) a possibilidade de expedição do alvará judicial pleiteado pelo requerente, considerando o panorama fático e documental atual.</w:t>
      </w:r>
    </w:p>
    <w:p w:rsidR="00023E13" w:rsidRPr="00023E13" w:rsidRDefault="00023E13" w:rsidP="00023E13">
      <w:pPr>
        <w:spacing w:before="100" w:beforeAutospacing="1" w:after="100" w:afterAutospacing="1" w:line="240" w:lineRule="auto"/>
        <w:jc w:val="both"/>
        <w:outlineLvl w:val="1"/>
        <w:rPr>
          <w:rFonts w:ascii="Arial" w:eastAsia="Times New Roman" w:hAnsi="Arial" w:cs="Arial"/>
          <w:b/>
          <w:bCs/>
          <w:sz w:val="24"/>
          <w:szCs w:val="24"/>
          <w:lang w:eastAsia="pt-BR"/>
        </w:rPr>
      </w:pPr>
      <w:r w:rsidRPr="00023E13">
        <w:rPr>
          <w:rFonts w:ascii="Arial" w:eastAsia="Times New Roman" w:hAnsi="Arial" w:cs="Arial"/>
          <w:b/>
          <w:bCs/>
          <w:sz w:val="24"/>
          <w:szCs w:val="24"/>
          <w:lang w:eastAsia="pt-BR"/>
        </w:rPr>
        <w:t>2.1. Da Análise do Pedido de Penhora no Rosto dos Autos</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A terceira interessada, Mônica Araújo Miranda, postula a constrição de eventuais créditos a serem recebidos por GEORGE MONTEIRO neste feito para satisfazer uma dívida de honorários sucumbenciais reconhecida no Processo nº 0018412-36.2010.8.14.0301. O requerente, por sua vez, levanta a preliminar de prescrição do referido débito, além de outros argumentos de mérito.</w:t>
      </w:r>
    </w:p>
    <w:p w:rsidR="00023E13" w:rsidRPr="00023E13" w:rsidRDefault="00023E13" w:rsidP="00023E13">
      <w:pPr>
        <w:spacing w:before="100" w:beforeAutospacing="1" w:after="100" w:afterAutospacing="1" w:line="240" w:lineRule="auto"/>
        <w:jc w:val="both"/>
        <w:outlineLvl w:val="2"/>
        <w:rPr>
          <w:rFonts w:ascii="Arial" w:eastAsia="Times New Roman" w:hAnsi="Arial" w:cs="Arial"/>
          <w:b/>
          <w:bCs/>
          <w:sz w:val="24"/>
          <w:szCs w:val="24"/>
          <w:lang w:eastAsia="pt-BR"/>
        </w:rPr>
      </w:pPr>
      <w:r w:rsidRPr="00023E13">
        <w:rPr>
          <w:rFonts w:ascii="Arial" w:eastAsia="Times New Roman" w:hAnsi="Arial" w:cs="Arial"/>
          <w:b/>
          <w:bCs/>
          <w:sz w:val="24"/>
          <w:szCs w:val="24"/>
          <w:lang w:eastAsia="pt-BR"/>
        </w:rPr>
        <w:t>2.1.1. Da alegação de prescrição do crédito executado</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O requerente sustenta que a pretensão de cobrança dos honorários advocatícios estaria fulminada pela prescrição quinquenal, conforme o artigo 25, inciso II, da Lei nº 8.906/94 (Estatuto da Advocacia e da OAB).</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lastRenderedPageBreak/>
        <w:t>Com efeito, a prescrição é matéria de ordem pública que pode ser arguida a qualquer tempo e grau de jurisdição e, uma vez reconhecida, extingue a pretensão do titular do direito. No entanto, a análise de tal prejudicial de mérito exige a verificação de elementos fáticos e processuais específicos, como a data do trânsito em julgado da decisão que fixou os honorários e a ocorrência de eventuais causas interruptivas ou suspensivas do prazo prescricional.</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Ocorre que tais elementos pertencem e devem ser discutidos no bojo do processo em que o crédito é executado, qual seja, o </w:t>
      </w:r>
      <w:r w:rsidRPr="00023E13">
        <w:rPr>
          <w:rFonts w:ascii="Arial" w:eastAsia="Times New Roman" w:hAnsi="Arial" w:cs="Arial"/>
          <w:b/>
          <w:bCs/>
          <w:sz w:val="24"/>
          <w:szCs w:val="24"/>
          <w:lang w:eastAsia="pt-BR"/>
        </w:rPr>
        <w:t>Cumprimento de Sentença nº 0018412-36.2010.8.14.0301</w:t>
      </w:r>
      <w:r w:rsidRPr="00023E13">
        <w:rPr>
          <w:rFonts w:ascii="Arial" w:eastAsia="Times New Roman" w:hAnsi="Arial" w:cs="Arial"/>
          <w:sz w:val="24"/>
          <w:szCs w:val="24"/>
          <w:lang w:eastAsia="pt-BR"/>
        </w:rPr>
        <w:t>. A este Juízo, no âmbito restrito de um procedimento de jurisdição voluntária como o presente alvará judicial, não compete analisar e decidir sobre a prescrição de um crédito constituído em outra relação processual. Fazê-lo configuraria indevida invasão na competência funcional do juiz natural daquela causa executiva.</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Portanto, a alegação de prescrição deve ser veiculada e decidida no foro competente, que é o processo de execução de origem. Neste feito, a análise do pedido de penhora deve se ater aos seus requisitos formais e à existência do objeto a ser constrito, sem adentrar no mérito da exigibilidade do crédito subjacente, o qual se presume existente até que decisão em contrário seja proferida nos autos próprios. Assim, </w:t>
      </w:r>
      <w:r w:rsidRPr="00023E13">
        <w:rPr>
          <w:rFonts w:ascii="Arial" w:eastAsia="Times New Roman" w:hAnsi="Arial" w:cs="Arial"/>
          <w:b/>
          <w:bCs/>
          <w:sz w:val="24"/>
          <w:szCs w:val="24"/>
          <w:lang w:eastAsia="pt-BR"/>
        </w:rPr>
        <w:t>rejeito a preliminar de prescrição</w:t>
      </w:r>
      <w:r w:rsidRPr="00023E13">
        <w:rPr>
          <w:rFonts w:ascii="Arial" w:eastAsia="Times New Roman" w:hAnsi="Arial" w:cs="Arial"/>
          <w:sz w:val="24"/>
          <w:szCs w:val="24"/>
          <w:lang w:eastAsia="pt-BR"/>
        </w:rPr>
        <w:t xml:space="preserve"> nos limites deste procedimento, ressalvando ao requerente o direito de </w:t>
      </w:r>
      <w:proofErr w:type="spellStart"/>
      <w:r w:rsidRPr="00023E13">
        <w:rPr>
          <w:rFonts w:ascii="Arial" w:eastAsia="Times New Roman" w:hAnsi="Arial" w:cs="Arial"/>
          <w:sz w:val="24"/>
          <w:szCs w:val="24"/>
          <w:lang w:eastAsia="pt-BR"/>
        </w:rPr>
        <w:t>arguí-la</w:t>
      </w:r>
      <w:proofErr w:type="spellEnd"/>
      <w:r w:rsidRPr="00023E13">
        <w:rPr>
          <w:rFonts w:ascii="Arial" w:eastAsia="Times New Roman" w:hAnsi="Arial" w:cs="Arial"/>
          <w:sz w:val="24"/>
          <w:szCs w:val="24"/>
          <w:lang w:eastAsia="pt-BR"/>
        </w:rPr>
        <w:t xml:space="preserve"> na via processual adequada.</w:t>
      </w:r>
    </w:p>
    <w:p w:rsidR="00023E13" w:rsidRPr="00023E13" w:rsidRDefault="00023E13" w:rsidP="00023E13">
      <w:pPr>
        <w:spacing w:before="100" w:beforeAutospacing="1" w:after="100" w:afterAutospacing="1" w:line="240" w:lineRule="auto"/>
        <w:jc w:val="both"/>
        <w:outlineLvl w:val="2"/>
        <w:rPr>
          <w:rFonts w:ascii="Arial" w:eastAsia="Times New Roman" w:hAnsi="Arial" w:cs="Arial"/>
          <w:b/>
          <w:bCs/>
          <w:sz w:val="24"/>
          <w:szCs w:val="24"/>
          <w:lang w:eastAsia="pt-BR"/>
        </w:rPr>
      </w:pPr>
      <w:r w:rsidRPr="00023E13">
        <w:rPr>
          <w:rFonts w:ascii="Arial" w:eastAsia="Times New Roman" w:hAnsi="Arial" w:cs="Arial"/>
          <w:b/>
          <w:bCs/>
          <w:sz w:val="24"/>
          <w:szCs w:val="24"/>
          <w:lang w:eastAsia="pt-BR"/>
        </w:rPr>
        <w:t>2.1.2. Da inexistência de objeto passível de constrição</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Superada a questão preliminar, a análise do pedido de penhora deve se concentrar na verificação da existência de um bem ou direito efetivamente penhorável. A penhora no rosto dos autos, prevista no artigo 860 do Código de Processo Civil, é a medida pela qual se busca a constrição não de um bem físico, mas de </w:t>
      </w:r>
      <w:r w:rsidRPr="00023E13">
        <w:rPr>
          <w:rFonts w:ascii="Arial" w:eastAsia="Times New Roman" w:hAnsi="Arial" w:cs="Arial"/>
          <w:b/>
          <w:bCs/>
          <w:sz w:val="24"/>
          <w:szCs w:val="24"/>
          <w:lang w:eastAsia="pt-BR"/>
        </w:rPr>
        <w:t>direitos ou créditos</w:t>
      </w:r>
      <w:r w:rsidRPr="00023E13">
        <w:rPr>
          <w:rFonts w:ascii="Arial" w:eastAsia="Times New Roman" w:hAnsi="Arial" w:cs="Arial"/>
          <w:sz w:val="24"/>
          <w:szCs w:val="24"/>
          <w:lang w:eastAsia="pt-BR"/>
        </w:rPr>
        <w:t xml:space="preserve"> que o executado possua em outro processo judicial.</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No caso em tela, o "direito" que a credora pretende penhorar é o valor que o requerente, GEORGE MONTEIRO, busca levantar por meio deste alvará judicial. A viabilidade da constrição, portanto, está intrinsecamente ligada à existência e disponibilidade desse crédito.</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A esse respeito, a informação prestada pelo </w:t>
      </w:r>
      <w:r w:rsidRPr="00023E13">
        <w:rPr>
          <w:rFonts w:ascii="Arial" w:eastAsia="Times New Roman" w:hAnsi="Arial" w:cs="Arial"/>
          <w:b/>
          <w:bCs/>
          <w:sz w:val="24"/>
          <w:szCs w:val="24"/>
          <w:lang w:eastAsia="pt-BR"/>
        </w:rPr>
        <w:t>Estado do Pará</w:t>
      </w:r>
      <w:r w:rsidRPr="00023E13">
        <w:rPr>
          <w:rFonts w:ascii="Arial" w:eastAsia="Times New Roman" w:hAnsi="Arial" w:cs="Arial"/>
          <w:sz w:val="24"/>
          <w:szCs w:val="24"/>
          <w:lang w:eastAsia="pt-BR"/>
        </w:rPr>
        <w:t xml:space="preserve">, por meio da petição de </w:t>
      </w:r>
      <w:r w:rsidRPr="00023E13">
        <w:rPr>
          <w:rFonts w:ascii="Arial" w:eastAsia="Times New Roman" w:hAnsi="Arial" w:cs="Arial"/>
          <w:b/>
          <w:bCs/>
          <w:sz w:val="24"/>
          <w:szCs w:val="24"/>
          <w:lang w:eastAsia="pt-BR"/>
        </w:rPr>
        <w:t>ID 167840282</w:t>
      </w:r>
      <w:r w:rsidRPr="00023E13">
        <w:rPr>
          <w:rFonts w:ascii="Arial" w:eastAsia="Times New Roman" w:hAnsi="Arial" w:cs="Arial"/>
          <w:sz w:val="24"/>
          <w:szCs w:val="24"/>
          <w:lang w:eastAsia="pt-BR"/>
        </w:rPr>
        <w:t xml:space="preserve">, é categórica e crucial para o deslinde da questão. O ente público, devedor do precatório, foi explícito ao afirmar que os valores, embora apurados, </w:t>
      </w:r>
      <w:r w:rsidRPr="00023E13">
        <w:rPr>
          <w:rFonts w:ascii="Arial" w:eastAsia="Times New Roman" w:hAnsi="Arial" w:cs="Arial"/>
          <w:b/>
          <w:bCs/>
          <w:sz w:val="24"/>
          <w:szCs w:val="24"/>
          <w:lang w:eastAsia="pt-BR"/>
        </w:rPr>
        <w:t>não se encontram financeiramente disponíveis</w:t>
      </w:r>
      <w:r w:rsidRPr="00023E13">
        <w:rPr>
          <w:rFonts w:ascii="Arial" w:eastAsia="Times New Roman" w:hAnsi="Arial" w:cs="Arial"/>
          <w:sz w:val="24"/>
          <w:szCs w:val="24"/>
          <w:lang w:eastAsia="pt-BR"/>
        </w:rPr>
        <w:t xml:space="preserve"> e que </w:t>
      </w:r>
      <w:r w:rsidRPr="00023E13">
        <w:rPr>
          <w:rFonts w:ascii="Arial" w:eastAsia="Times New Roman" w:hAnsi="Arial" w:cs="Arial"/>
          <w:b/>
          <w:bCs/>
          <w:sz w:val="24"/>
          <w:szCs w:val="24"/>
          <w:lang w:eastAsia="pt-BR"/>
        </w:rPr>
        <w:t>não houve depósito ou liberação</w:t>
      </w:r>
      <w:r w:rsidRPr="00023E13">
        <w:rPr>
          <w:rFonts w:ascii="Arial" w:eastAsia="Times New Roman" w:hAnsi="Arial" w:cs="Arial"/>
          <w:sz w:val="24"/>
          <w:szCs w:val="24"/>
          <w:lang w:eastAsia="pt-BR"/>
        </w:rPr>
        <w:t xml:space="preserve">. Mais do que isso, o Estado esclareceu que o pagamento foi </w:t>
      </w:r>
      <w:r w:rsidRPr="00023E13">
        <w:rPr>
          <w:rFonts w:ascii="Arial" w:eastAsia="Times New Roman" w:hAnsi="Arial" w:cs="Arial"/>
          <w:b/>
          <w:bCs/>
          <w:sz w:val="24"/>
          <w:szCs w:val="24"/>
          <w:lang w:eastAsia="pt-BR"/>
        </w:rPr>
        <w:t>inviabilizado</w:t>
      </w:r>
      <w:r w:rsidRPr="00023E13">
        <w:rPr>
          <w:rFonts w:ascii="Arial" w:eastAsia="Times New Roman" w:hAnsi="Arial" w:cs="Arial"/>
          <w:sz w:val="24"/>
          <w:szCs w:val="24"/>
          <w:lang w:eastAsia="pt-BR"/>
        </w:rPr>
        <w:t xml:space="preserve"> pelo </w:t>
      </w:r>
      <w:r w:rsidRPr="00023E13">
        <w:rPr>
          <w:rFonts w:ascii="Arial" w:eastAsia="Times New Roman" w:hAnsi="Arial" w:cs="Arial"/>
          <w:b/>
          <w:bCs/>
          <w:sz w:val="24"/>
          <w:szCs w:val="24"/>
          <w:lang w:eastAsia="pt-BR"/>
        </w:rPr>
        <w:t>indeferimento do pedido administrativo</w:t>
      </w:r>
      <w:r w:rsidRPr="00023E13">
        <w:rPr>
          <w:rFonts w:ascii="Arial" w:eastAsia="Times New Roman" w:hAnsi="Arial" w:cs="Arial"/>
          <w:sz w:val="24"/>
          <w:szCs w:val="24"/>
          <w:lang w:eastAsia="pt-BR"/>
        </w:rPr>
        <w:t xml:space="preserve"> do próprio requerente, que deixou de apresentar a documentação necessária para sua habilitação como herdeiro.</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Tal informação demonstra, de forma inequívoca, que o crédito pleiteado pelo requerente neste alvará é, no momento, uma </w:t>
      </w:r>
      <w:r w:rsidRPr="00023E13">
        <w:rPr>
          <w:rFonts w:ascii="Arial" w:eastAsia="Times New Roman" w:hAnsi="Arial" w:cs="Arial"/>
          <w:b/>
          <w:bCs/>
          <w:sz w:val="24"/>
          <w:szCs w:val="24"/>
          <w:lang w:eastAsia="pt-BR"/>
        </w:rPr>
        <w:t>mera expectativa de direito</w:t>
      </w:r>
      <w:r w:rsidRPr="00023E13">
        <w:rPr>
          <w:rFonts w:ascii="Arial" w:eastAsia="Times New Roman" w:hAnsi="Arial" w:cs="Arial"/>
          <w:sz w:val="24"/>
          <w:szCs w:val="24"/>
          <w:lang w:eastAsia="pt-BR"/>
        </w:rPr>
        <w:t xml:space="preserve">. Não há qualquer valor depositado em conta judicial vinculada a este processo, nem garantia de que os valores serão pagos em curto prazo, uma vez </w:t>
      </w:r>
      <w:r w:rsidRPr="00023E13">
        <w:rPr>
          <w:rFonts w:ascii="Arial" w:eastAsia="Times New Roman" w:hAnsi="Arial" w:cs="Arial"/>
          <w:sz w:val="24"/>
          <w:szCs w:val="24"/>
          <w:lang w:eastAsia="pt-BR"/>
        </w:rPr>
        <w:lastRenderedPageBreak/>
        <w:t>que a liberação depende da superação de um óbice administrativo criado pela própria inércia do autor.</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A penhora, enquanto ato de afetação patrimonial, pressupõe a existência de um bem ou direito com expressão econômica atual. Não se pode penhorar o que não existe. A tentativa de constrição sobre uma verba futura, incerta e cuja liberação depende do cumprimento de diligências administrativas pelo devedor, mostra-se prematura e, na prática, inócua.</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Desse modo, o pedido de penhora no rosto dos autos, formulado pela advogada Mônica Araújo Miranda, deve ser indeferido, uma vez que, no estado atual do processo, não há objeto passível de constrição. A pretensão carece de um dos seus requisitos fundamentais: a existência de um direito de crédito concreto e atual do devedor a ser penhorado.</w:t>
      </w:r>
    </w:p>
    <w:p w:rsidR="00023E13" w:rsidRPr="00023E13" w:rsidRDefault="00023E13" w:rsidP="00023E13">
      <w:pPr>
        <w:spacing w:before="100" w:beforeAutospacing="1" w:after="100" w:afterAutospacing="1" w:line="240" w:lineRule="auto"/>
        <w:jc w:val="both"/>
        <w:outlineLvl w:val="1"/>
        <w:rPr>
          <w:rFonts w:ascii="Arial" w:eastAsia="Times New Roman" w:hAnsi="Arial" w:cs="Arial"/>
          <w:b/>
          <w:bCs/>
          <w:sz w:val="24"/>
          <w:szCs w:val="24"/>
          <w:lang w:eastAsia="pt-BR"/>
        </w:rPr>
      </w:pPr>
      <w:r w:rsidRPr="00023E13">
        <w:rPr>
          <w:rFonts w:ascii="Arial" w:eastAsia="Times New Roman" w:hAnsi="Arial" w:cs="Arial"/>
          <w:b/>
          <w:bCs/>
          <w:sz w:val="24"/>
          <w:szCs w:val="24"/>
          <w:lang w:eastAsia="pt-BR"/>
        </w:rPr>
        <w:t>2.2. Da Análise do Pedido Principal de Expedição de Alvará Judicial</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Resolvida a questão incidental da penhora, passa-se à análise do pedido principal formulado por GEORGE MONTEIRO. O autor busca um alvará para levantar os valores dos precatórios de sua falecida mãe.</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O alvará judicial é um procedimento de jurisdição voluntária, simplificado, destinado a permitir que herdeiros ou interessados levantem quantias de pequeno ou médio valor deixadas pelo falecido, dispensando a abertura de um inventário formal, desde que preenchidos os requisitos legais, notadamente a inexistência de outros bens a partilhar e o consenso entre os sucessores. Seu objetivo é conferir celeridade e economia processual na transmissão de direitos patrimoniais de natureza pecuniária.</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A premissa fundamental para a concessão do alvará é a </w:t>
      </w:r>
      <w:r w:rsidRPr="00023E13">
        <w:rPr>
          <w:rFonts w:ascii="Arial" w:eastAsia="Times New Roman" w:hAnsi="Arial" w:cs="Arial"/>
          <w:b/>
          <w:bCs/>
          <w:sz w:val="24"/>
          <w:szCs w:val="24"/>
          <w:lang w:eastAsia="pt-BR"/>
        </w:rPr>
        <w:t>disponibilidade do valor a ser levantado</w:t>
      </w:r>
      <w:r w:rsidRPr="00023E13">
        <w:rPr>
          <w:rFonts w:ascii="Arial" w:eastAsia="Times New Roman" w:hAnsi="Arial" w:cs="Arial"/>
          <w:sz w:val="24"/>
          <w:szCs w:val="24"/>
          <w:lang w:eastAsia="pt-BR"/>
        </w:rPr>
        <w:t>. O provimento jurisdicional, nesse caso, funciona como uma autorização para que o beneficiário saque uma quantia que já está depositada em uma instituição financeira ou que está pronta para ser paga por um ente público ou privado.</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Conforme exaustivamente detalhado no tópico anterior, a prova dos autos, especificamente a manifestação do Estado do Pará (</w:t>
      </w:r>
      <w:r w:rsidRPr="00023E13">
        <w:rPr>
          <w:rFonts w:ascii="Arial" w:eastAsia="Times New Roman" w:hAnsi="Arial" w:cs="Arial"/>
          <w:b/>
          <w:bCs/>
          <w:sz w:val="24"/>
          <w:szCs w:val="24"/>
          <w:lang w:eastAsia="pt-BR"/>
        </w:rPr>
        <w:t>ID 167840282</w:t>
      </w:r>
      <w:r w:rsidRPr="00023E13">
        <w:rPr>
          <w:rFonts w:ascii="Arial" w:eastAsia="Times New Roman" w:hAnsi="Arial" w:cs="Arial"/>
          <w:sz w:val="24"/>
          <w:szCs w:val="24"/>
          <w:lang w:eastAsia="pt-BR"/>
        </w:rPr>
        <w:t xml:space="preserve">), demonstra que os valores dos precatórios </w:t>
      </w:r>
      <w:r w:rsidRPr="00023E13">
        <w:rPr>
          <w:rFonts w:ascii="Arial" w:eastAsia="Times New Roman" w:hAnsi="Arial" w:cs="Arial"/>
          <w:b/>
          <w:bCs/>
          <w:sz w:val="24"/>
          <w:szCs w:val="24"/>
          <w:lang w:eastAsia="pt-BR"/>
        </w:rPr>
        <w:t>não estão disponíveis para pagamento</w:t>
      </w:r>
      <w:r w:rsidRPr="00023E13">
        <w:rPr>
          <w:rFonts w:ascii="Arial" w:eastAsia="Times New Roman" w:hAnsi="Arial" w:cs="Arial"/>
          <w:sz w:val="24"/>
          <w:szCs w:val="24"/>
          <w:lang w:eastAsia="pt-BR"/>
        </w:rPr>
        <w:t>. O procedimento administrativo de habilitação do herdeiro, essencial para a liberação dos recursos, foi indeferido por falha do próprio requerente em apresentar a documentação exigida.</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Diante desse cenário, a expedição de um alvará judicial seria completamente ineficaz. O Poder Judiciário não pode autorizar o levantamento de uma quantia que o órgão pagador informa não estar liberada para pagamento. Tampouco pode, nos estreitos limites deste procedimento, substituir-se à administração pública para rever o mérito do indeferimento administrativo ou para determinar o pagamento a despeito do não cumprimento das exigências formais.</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lastRenderedPageBreak/>
        <w:t xml:space="preserve">A solução para o impasse não é judicial, mas </w:t>
      </w:r>
      <w:r w:rsidRPr="00023E13">
        <w:rPr>
          <w:rFonts w:ascii="Arial" w:eastAsia="Times New Roman" w:hAnsi="Arial" w:cs="Arial"/>
          <w:b/>
          <w:bCs/>
          <w:sz w:val="24"/>
          <w:szCs w:val="24"/>
          <w:lang w:eastAsia="pt-BR"/>
        </w:rPr>
        <w:t>administrativa</w:t>
      </w:r>
      <w:r w:rsidRPr="00023E13">
        <w:rPr>
          <w:rFonts w:ascii="Arial" w:eastAsia="Times New Roman" w:hAnsi="Arial" w:cs="Arial"/>
          <w:sz w:val="24"/>
          <w:szCs w:val="24"/>
          <w:lang w:eastAsia="pt-BR"/>
        </w:rPr>
        <w:t>. Compete ao requerente, GEORGE MONTEIRO, diligenciar junto à Secretaria de Estado de Educação (SEDUC) para regularizar sua habilitação, apresentando os documentos faltantes e cumprindo as etapas necessárias para que seu pedido administrativo seja deferido e os valores sejam, enfim, disponibilizados para pagamento.</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Somente após a comprovação nos autos de que o óbice administrativo foi superado e de que os valores estão efetivamente prontos para serem pagos, é que o pedido de alvará judicial poderá ser reapreciado e, se for o caso, deferido. No momento, o pedido é manifestamente prematuro e carece de interesse processual na modalidade adequação-utilidade, pois a decisão judicial não teria o condão de produzir o resultado prático almejado.</w:t>
      </w:r>
    </w:p>
    <w:p w:rsidR="00023E13" w:rsidRPr="00023E13" w:rsidRDefault="00023E13" w:rsidP="00023E13">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023E13">
        <w:rPr>
          <w:rFonts w:ascii="Arial" w:eastAsia="Times New Roman" w:hAnsi="Arial" w:cs="Arial"/>
          <w:b/>
          <w:bCs/>
          <w:kern w:val="36"/>
          <w:sz w:val="24"/>
          <w:szCs w:val="24"/>
          <w:lang w:eastAsia="pt-BR"/>
        </w:rPr>
        <w:t>3. DISPOSITIVO</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Ante o exposto, e por tudo mais que dos autos consta, com fundamento nos artigos 485, VI, e 860 do Código de Processo Civil, decido:</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a) </w:t>
      </w:r>
      <w:r w:rsidRPr="00023E13">
        <w:rPr>
          <w:rFonts w:ascii="Arial" w:eastAsia="Times New Roman" w:hAnsi="Arial" w:cs="Arial"/>
          <w:b/>
          <w:bCs/>
          <w:sz w:val="24"/>
          <w:szCs w:val="24"/>
          <w:lang w:eastAsia="pt-BR"/>
        </w:rPr>
        <w:t>INDEFERIR, por ora, o pedido de penhora no rosto dos autos</w:t>
      </w:r>
      <w:r w:rsidRPr="00023E13">
        <w:rPr>
          <w:rFonts w:ascii="Arial" w:eastAsia="Times New Roman" w:hAnsi="Arial" w:cs="Arial"/>
          <w:sz w:val="24"/>
          <w:szCs w:val="24"/>
          <w:lang w:eastAsia="pt-BR"/>
        </w:rPr>
        <w:t xml:space="preserve"> formulado pela terceira interessada MÔNICA ARAÚJO MIRANDA (</w:t>
      </w:r>
      <w:r w:rsidRPr="00023E13">
        <w:rPr>
          <w:rFonts w:ascii="Arial" w:eastAsia="Times New Roman" w:hAnsi="Arial" w:cs="Arial"/>
          <w:b/>
          <w:bCs/>
          <w:sz w:val="24"/>
          <w:szCs w:val="24"/>
          <w:lang w:eastAsia="pt-BR"/>
        </w:rPr>
        <w:t>ID 165102171</w:t>
      </w:r>
      <w:r w:rsidRPr="00023E13">
        <w:rPr>
          <w:rFonts w:ascii="Arial" w:eastAsia="Times New Roman" w:hAnsi="Arial" w:cs="Arial"/>
          <w:sz w:val="24"/>
          <w:szCs w:val="24"/>
          <w:lang w:eastAsia="pt-BR"/>
        </w:rPr>
        <w:t xml:space="preserve">), em razão da comprovada inexistência, no presente momento, de crédito disponível ou de valor depositado passível de constrição, conforme informado pelo Estado do Pará na manifestação de </w:t>
      </w:r>
      <w:r w:rsidRPr="00023E13">
        <w:rPr>
          <w:rFonts w:ascii="Arial" w:eastAsia="Times New Roman" w:hAnsi="Arial" w:cs="Arial"/>
          <w:b/>
          <w:bCs/>
          <w:sz w:val="24"/>
          <w:szCs w:val="24"/>
          <w:lang w:eastAsia="pt-BR"/>
        </w:rPr>
        <w:t>ID 167840282</w:t>
      </w:r>
      <w:r w:rsidRPr="00023E13">
        <w:rPr>
          <w:rFonts w:ascii="Arial" w:eastAsia="Times New Roman" w:hAnsi="Arial" w:cs="Arial"/>
          <w:sz w:val="24"/>
          <w:szCs w:val="24"/>
          <w:lang w:eastAsia="pt-BR"/>
        </w:rPr>
        <w:t>. Fica ressalvado à credora o direito de renovar seu pleito caso, futuramente, o crédito venha a se tornar líquido e disponível;</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b) </w:t>
      </w:r>
      <w:r w:rsidRPr="00023E13">
        <w:rPr>
          <w:rFonts w:ascii="Arial" w:eastAsia="Times New Roman" w:hAnsi="Arial" w:cs="Arial"/>
          <w:b/>
          <w:bCs/>
          <w:sz w:val="24"/>
          <w:szCs w:val="24"/>
          <w:lang w:eastAsia="pt-BR"/>
        </w:rPr>
        <w:t>INDEFERIR, igualmente por ora, o pedido de expedição de alvará judicial</w:t>
      </w:r>
      <w:r w:rsidRPr="00023E13">
        <w:rPr>
          <w:rFonts w:ascii="Arial" w:eastAsia="Times New Roman" w:hAnsi="Arial" w:cs="Arial"/>
          <w:sz w:val="24"/>
          <w:szCs w:val="24"/>
          <w:lang w:eastAsia="pt-BR"/>
        </w:rPr>
        <w:t xml:space="preserve"> formulado pelo requerente GEORGE MONTEIRO (</w:t>
      </w:r>
      <w:r w:rsidRPr="00023E13">
        <w:rPr>
          <w:rFonts w:ascii="Arial" w:eastAsia="Times New Roman" w:hAnsi="Arial" w:cs="Arial"/>
          <w:b/>
          <w:bCs/>
          <w:sz w:val="24"/>
          <w:szCs w:val="24"/>
          <w:lang w:eastAsia="pt-BR"/>
        </w:rPr>
        <w:t>ID 160961629</w:t>
      </w:r>
      <w:r w:rsidRPr="00023E13">
        <w:rPr>
          <w:rFonts w:ascii="Arial" w:eastAsia="Times New Roman" w:hAnsi="Arial" w:cs="Arial"/>
          <w:sz w:val="24"/>
          <w:szCs w:val="24"/>
          <w:lang w:eastAsia="pt-BR"/>
        </w:rPr>
        <w:t>), por manifesta ausência de interesse processual, tendo em vista que os valores pleiteados não se encontram disponíveis para levantamento, dependendo de prévia regularização de pendências administrativas do requerente junto ao órgão devedor, a Secretaria de Estado de Educação (SEDUC);</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c) </w:t>
      </w:r>
      <w:r w:rsidRPr="00023E13">
        <w:rPr>
          <w:rFonts w:ascii="Arial" w:eastAsia="Times New Roman" w:hAnsi="Arial" w:cs="Arial"/>
          <w:b/>
          <w:bCs/>
          <w:sz w:val="24"/>
          <w:szCs w:val="24"/>
          <w:lang w:eastAsia="pt-BR"/>
        </w:rPr>
        <w:t>DETERMINAR a intimação do requerente, GEORGE MONTEIRO</w:t>
      </w:r>
      <w:r w:rsidRPr="00023E13">
        <w:rPr>
          <w:rFonts w:ascii="Arial" w:eastAsia="Times New Roman" w:hAnsi="Arial" w:cs="Arial"/>
          <w:sz w:val="24"/>
          <w:szCs w:val="24"/>
          <w:lang w:eastAsia="pt-BR"/>
        </w:rPr>
        <w:t xml:space="preserve">, por seu advogado, para que, no prazo de </w:t>
      </w:r>
      <w:r w:rsidRPr="00023E13">
        <w:rPr>
          <w:rFonts w:ascii="Arial" w:eastAsia="Times New Roman" w:hAnsi="Arial" w:cs="Arial"/>
          <w:b/>
          <w:bCs/>
          <w:sz w:val="24"/>
          <w:szCs w:val="24"/>
          <w:lang w:eastAsia="pt-BR"/>
        </w:rPr>
        <w:t>60 (sessenta) dias</w:t>
      </w:r>
      <w:r w:rsidRPr="00023E13">
        <w:rPr>
          <w:rFonts w:ascii="Arial" w:eastAsia="Times New Roman" w:hAnsi="Arial" w:cs="Arial"/>
          <w:sz w:val="24"/>
          <w:szCs w:val="24"/>
          <w:lang w:eastAsia="pt-BR"/>
        </w:rPr>
        <w:t>, comprove nos autos ter adotado as providências administrativas necessárias para regularizar sua habilitação perante a SEDUC, a fim de viabilizar a futura liberação dos créditos oriundos dos precatórios;</w:t>
      </w:r>
    </w:p>
    <w:p w:rsidR="00023E13" w:rsidRPr="00023E13" w:rsidRDefault="00023E13" w:rsidP="00023E13">
      <w:pPr>
        <w:spacing w:before="120" w:after="120" w:line="240" w:lineRule="auto"/>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 xml:space="preserve">d) </w:t>
      </w:r>
      <w:r w:rsidRPr="00023E13">
        <w:rPr>
          <w:rFonts w:ascii="Arial" w:eastAsia="Times New Roman" w:hAnsi="Arial" w:cs="Arial"/>
          <w:b/>
          <w:bCs/>
          <w:sz w:val="24"/>
          <w:szCs w:val="24"/>
          <w:lang w:eastAsia="pt-BR"/>
        </w:rPr>
        <w:t>SUSPENDER o trâmite do presente feito pelo prazo de 90 (noventa) dias</w:t>
      </w:r>
      <w:r w:rsidRPr="00023E13">
        <w:rPr>
          <w:rFonts w:ascii="Arial" w:eastAsia="Times New Roman" w:hAnsi="Arial" w:cs="Arial"/>
          <w:sz w:val="24"/>
          <w:szCs w:val="24"/>
          <w:lang w:eastAsia="pt-BR"/>
        </w:rPr>
        <w:t>, a fim de aguardar o cumprimento da diligência determinada no item anterior. Decorrido o prazo da suspensão, intime-se o requerente para que informe o resultado de suas providências administrativas, devendo o processo retornar concluso após sua manifestação ou o decurso do prazo;</w:t>
      </w:r>
    </w:p>
    <w:p w:rsidR="00023E13" w:rsidRPr="00023E13" w:rsidRDefault="00023E13" w:rsidP="00023E13">
      <w:pPr>
        <w:spacing w:before="120" w:after="120" w:line="240" w:lineRule="auto"/>
        <w:jc w:val="both"/>
        <w:rPr>
          <w:rFonts w:ascii="Arial" w:eastAsia="Times New Roman" w:hAnsi="Arial" w:cs="Arial"/>
          <w:sz w:val="24"/>
          <w:szCs w:val="24"/>
          <w:lang w:eastAsia="pt-BR"/>
        </w:rPr>
      </w:pPr>
      <w:proofErr w:type="gramStart"/>
      <w:r w:rsidRPr="00023E13">
        <w:rPr>
          <w:rFonts w:ascii="Arial" w:eastAsia="Times New Roman" w:hAnsi="Arial" w:cs="Arial"/>
          <w:sz w:val="24"/>
          <w:szCs w:val="24"/>
          <w:lang w:eastAsia="pt-BR"/>
        </w:rPr>
        <w:t>e) Fica</w:t>
      </w:r>
      <w:proofErr w:type="gramEnd"/>
      <w:r w:rsidRPr="00023E13">
        <w:rPr>
          <w:rFonts w:ascii="Arial" w:eastAsia="Times New Roman" w:hAnsi="Arial" w:cs="Arial"/>
          <w:sz w:val="24"/>
          <w:szCs w:val="24"/>
          <w:lang w:eastAsia="pt-BR"/>
        </w:rPr>
        <w:t xml:space="preserve"> o requerente advertido de que a sua inércia prolongada e o não cumprimento das determinações poderão acarretar a extinção do processo sem resolução do mérito, por abandono ou por ausência de pressuposto de constituição e de desenvolvimento válido e regular do processo.</w:t>
      </w:r>
    </w:p>
    <w:p w:rsidR="00023E13" w:rsidRPr="00023E13" w:rsidRDefault="00023E13" w:rsidP="00023E13">
      <w:pPr>
        <w:spacing w:before="240" w:after="240" w:line="240" w:lineRule="auto"/>
        <w:ind w:firstLine="1134"/>
        <w:jc w:val="both"/>
        <w:rPr>
          <w:rFonts w:ascii="Arial" w:eastAsia="Times New Roman" w:hAnsi="Arial" w:cs="Arial"/>
          <w:sz w:val="24"/>
          <w:szCs w:val="24"/>
          <w:lang w:eastAsia="pt-BR"/>
        </w:rPr>
      </w:pPr>
      <w:r w:rsidRPr="00023E13">
        <w:rPr>
          <w:rFonts w:ascii="Arial" w:eastAsia="Times New Roman" w:hAnsi="Arial" w:cs="Arial"/>
          <w:sz w:val="24"/>
          <w:szCs w:val="24"/>
          <w:lang w:eastAsia="pt-BR"/>
        </w:rPr>
        <w:t>Publique-se. Registre-se. Intimem-se. Cumpra-se.</w:t>
      </w:r>
    </w:p>
    <w:p w:rsidR="003E57DA" w:rsidRPr="00023E13" w:rsidRDefault="003E57DA" w:rsidP="00023E13">
      <w:pPr>
        <w:jc w:val="both"/>
        <w:rPr>
          <w:rFonts w:ascii="Arial" w:hAnsi="Arial" w:cs="Arial"/>
          <w:sz w:val="24"/>
          <w:szCs w:val="24"/>
        </w:rPr>
      </w:pPr>
    </w:p>
    <w:sectPr w:rsidR="003E57DA" w:rsidRPr="00023E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E13"/>
    <w:rsid w:val="00023E13"/>
    <w:rsid w:val="003E57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BBB8"/>
  <w15:chartTrackingRefBased/>
  <w15:docId w15:val="{FCDC3A9A-D38C-40CD-ACDD-8E757D6F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023E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023E1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023E13"/>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3E13"/>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023E13"/>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023E13"/>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023E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23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25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2234</Words>
  <Characters>12069</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2026-05-01T20:48:00Z</dcterms:created>
  <dcterms:modified xsi:type="dcterms:W3CDTF">2026-05-01T20:50:00Z</dcterms:modified>
</cp:coreProperties>
</file>