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841428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0899151-35.2025.8.14.0301</w:t>
      </w:r>
    </w:p>
    <w:bookmarkEnd w:id="0"/>
    <w:p w:rsidR="00841428" w:rsidRPr="00841428" w:rsidRDefault="00841428" w:rsidP="00841428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Vistos etc.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RELATÓRIO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Arrolamento Sumário e Partilha Amigável dos bens deixados por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ADOLFO CARLOS DE MENEZES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falecido em 08 de fevereiro de 2025, conforme certidão de óbito constante no ID 161322265.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 petição inicial (ID 161322242) foi ajuizada por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FLÁVIA NAZARÉ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, na qualidade de viúva meeira e herdeira, e pelas herdeiras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LULY RODRIGUES DA CUNHA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THAIS RODRIGUES DA CUNHA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CECÍLIA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esta última menor de idade, devidamente representada por sua genitora, a primeira requerente. As partes informam que são as únicas sucessoras do falecido, apresentaram um rol de bens a inventariar, juntaram as respectivas certidões e documentos comprobatórios, e propuseram um plano de partilha amigável. Requereram, ainda, a tramitação preferencial do feito em razão da presença de herdeira incapaz.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Com a inicial, foram juntados diversos documentos, incluindo as procurações (</w:t>
      </w:r>
      <w:proofErr w:type="spell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161322243 e 161322245), certidão de óbito (ID 161322265), documentos de identificação das partes (ID 161322254), certidões de casamento e nascimento que comprovam os vínculos familiares (</w:t>
      </w:r>
      <w:proofErr w:type="spell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161322246 e 161322247), escrituras e documentos dos bens (</w:t>
      </w:r>
      <w:proofErr w:type="spell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161322277, 161322283, 161322285), declarações de únicos herdeiros e de inexistência de outros bens (</w:t>
      </w:r>
      <w:proofErr w:type="spell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161324996 e 161324997), bem como certidões negativas fiscais e de outras naturezas. Foi comprovado o recolhimento das custas processuais iniciais, conforme certidão da secretaria (ID 162228400) e documentos de pagamento (ID 161361478).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Em decisão inicial (ID 165254042), este juízo recebeu o processo sob o rito de arrolamento sumário, deferiu a prioridade na tramitação e determinou a intimação do Ministério Público para manifestação, considerando o interesse da herdeira menor.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 Ministério Público, em seu parecer (ID 167299987), opinou pela conversão do rito de arrolamento sumário para o de inventário comum, sob o argumento de que o valor do espólio supera o limite legal do arrolamento previsto no art. 664 do CPC. Apontou, ainda, a necessidade de nomeação judicial de inventariante, a realização de avaliação judicial dos bens para resguardar os interesses da incapaz, a ausência de comprovação de quitação do ITCMD, e a necessidade de esclarecimentos sobre a empresa do falecido e o plano de partilha, requerendo, ao final, a apresentação de últimas declarações e um esboço de partilha que especificasse os quinhões.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Intimadas a se manifestar sobre o parecer ministerial, as requerentes apresentaram a petição de ID 173638627, na qual: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(i)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defenderam a manutenção do rito de arrolamento sumário, argumentando que a jurisprudência o admite mesmo com herdeiro incapaz, desde que haja consenso e concordância do 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Ministério Público;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</w:t>
      </w:r>
      <w:proofErr w:type="spellEnd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ratificaram o pedido de nomeação da viúva como inventariante, com base na escritura pública extrajudicial já juntada (ID 161361475);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</w:t>
      </w:r>
      <w:proofErr w:type="spellEnd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afirmaram a desnecessidade de avaliação judicial, tendo em vista a juntada do Termo de Avaliação Fiscal realizado pela Secretaria de Estado da Fazenda (SEFA/PA) (ID 173638636);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iv</w:t>
      </w:r>
      <w:proofErr w:type="spellEnd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reiteraram que a empresa do falecido não possui movimentação financeira e que pretendem encerrá-la;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(v)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apresentaram um novo plano de partilha, adequado aos valores apurados pela SEFA/PA; e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(vi)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requereram a retificação do valor da causa para R$ 2.871.016,17, a homologação da partilha, a expedição de alvarás e a remessa dos autos ao contador para cálculo das custas finais.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 do necessário.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Fundamento e decido.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FUNDAMENTAÇÃO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 processo encontra-se em fase de saneamento, com questões processuais e de mérito a serem dirimidas antes de uma eventual homologação da partilha. Analiso, de forma organizada, os pontos pendentes.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Do Rito Processual e da Intervenção do Ministério Público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A primeira controvérsia a ser analisada diz respeito ao rito processual a ser adotado. As requerentes optaram pelo arrolamento sumário, previsto no artigo 659 do Código de Processo Civil (CPC), enquanto o Ministério Público pugnou pela sua conversão ao rito de inventário comum, com base no artigo 664 do CPC e na presença de herdeira incapaz.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 arrolamento sumário, disciplinado a partir do art. 659 do CPC, é um procedimento mais célere e simplificado, destinado à partilha amigável, desde que todos os herdeiros sejam capazes. O artigo 665 do CPC, por sua vez, estende a possibilidade de arrolamento sumário aos casos de herdeiro único, ainda que o valor dos bens ultrapasse o limite de 1.000 salários mínimos estabelecido para o arrolamento comum (art. 664, CPC).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No caso concreto, embora todos os interessados estejam de acordo com a partilha, há a presença de uma herdeira menor,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CECÍLIA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. A literalidade do artigo 665 do CPC, ao não mencionar a possibilidade de seu uso com herdeiros incapazes, levaria, em uma primeira análise, à conclusão pela inadequação do rito eleito.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Contudo, a jurisprudência e a doutrina, em uma interpretação teleológica da norma e em homenagem aos princípios da celeridade e da economia processual, têm admitido a tramitação do inventário sob o rito de arrolamento sumário mesmo com a existência de herdeiro incapaz, desde que preenchidos dois requisitos cumulativos: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(a) a concordância de todos os interessados com a partilha; e (b) a concordância expressa do Ministério Público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que atua como fiscal da ordem jurídica e protetor dos interesses do incapaz.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No parecer de ID 167299987, o órgão ministerial manifestou discordância inicial com o rito, apontando diversas pendências que, a seu ver, demandariam a conversão para o rito ordinário do inventário, como a ausência de avaliação dos bens e a falta de clareza sobre o pagamento dos tributos.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Ocorre que, posteriormente, as requerentes apresentaram a petição de ID 173638627, na qual buscaram sanar as preocupações ministeriais, juntando o Termo de Avaliação Fiscal emitido pela SEFA/PA (ID 173638636) e apresentando um novo plano de partilha detalhado. Afirmaram, ainda, que o ITCMD já foi quitado, embora o comprovante de pagamento ainda não tenha sido acostado aos autos.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Diante desse novo cenário, em que as principais objeções do Ministério Público foram, ao menos em tese, endereçadas, mostra-se prematuro decidir pela conversão do rito para o inventário comum, que é mais oneroso e demorado. É imperativo que o </w:t>
      </w:r>
      <w:r w:rsidRPr="008414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Parquet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seja novamente ouvido para reavaliar a situação à luz dos novos documentos e esclarecimentos, manifestando-se sobre a possibilidade de concordar com o prosseguimento do feito na forma de arrolamento sumário, o que atenderia aos interesses de todos, inclusive da herdeira menor, ao proporcionar uma resolução mais célere da sucessão.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Da Nomeação da Inventariante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As requerentes informam que a viúva, Sra.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FLÁVIA NAZARÉ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já foi nomeada inventariante em procedimento extrajudicial, conforme Escritura Pública Declaratória lavrada no 1º Ofício de Notas de Belém (ID 161361475).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 artigo 617 do CPC estabelece uma ordem de preferência para a nomeação de inventariante, figurando o cônjuge ou companheiro sobrevivente em primeiro lugar (inciso I), desde que estivesse convivendo com o outro ao tempo da abertura da sucessão.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No caso dos autos, a Sra. Flávia Fischer era casada com o falecido sob o regime da comunhão parcial de bens e, segundo a inicial, convivia com ele. Ademais, a sua nomeação é fruto do consenso entre todos os herdeiros, o que é demonstrado pela própria escritura pública e pela petição conjunta.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Assim, considerando a ordem legal de preferência, a ausência de qualquer conflito entre os herdeiros e a manifesta concordância de todos,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nomeio a Sra. FLÁVIA NAZARÉ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qualificada nos autos, para exercer o encargo de inventariante. Tendo em vista a existência de termo de compromisso firmado na escritura pública de ID 161361475, e em atenção ao princípio da instrumentalidade das formas, dispenso a lavratura de novo termo judicial.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Da Avaliação dos Bens do Espólio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O Ministério Público requereu a avaliação judicial dos bens, conforme preconiza o artigo 633 do CPC, como medida de proteção ao patrimônio da herdeira incapaz. Por outro lado, as requerentes argumentam que tal providência é 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desnecessária, pois apresentaram o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Termo de Avaliação Fiscal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realizado pela Fazenda Pública Estadual (ID 173638636).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Assiste razão às requerentes. A exigência de avaliação judicial em inventários com herdeiros incapazes visa, precipuamente, assegurar que os bens sejam partilhados por seu valor real de mercado, evitando prejuízos ao menor. Contudo, quando a própria Fazenda Pública, órgão dotado de fé pública e competência técnica, realiza a avaliação dos bens para fins de lançamento do ITCMD, esse laudo pode, e </w:t>
      </w:r>
      <w:proofErr w:type="gram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deve, ser</w:t>
      </w:r>
      <w:proofErr w:type="gram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aproveitado pelo juízo.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 adoção da avaliação fiscal, além de ser um ato oficial, promove a economia processual e evita a oneração desnecessária do espólio com os custos de uma nova avaliação. Portanto,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 os valores atribuídos aos bens no Termo de Avaliação Fiscal de ID 173638636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como base para a partilha, ressalvada a possibilidade de impugnação fundamentada pelo Ministério Público em sua próxima manifestação, caso identifique algum prejuízo concreto e específico aos interesses da incapaz.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Da Retificação do Valor da Causa e das Custas Complementares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Na petição inicial, foi atribuído à causa o valor de R$ 1.186.178,55 (ID 161322242, p. 13). Com a apresentação do laudo da SEFA/PA (ID 173638636), o valor total dos bens do espólio (monte-mor) foi reavaliado para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R$ 2.871.016,17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O valor da causa em ações de inventário e arrolamento deve corresponder ao valor total dos bens que compõem o acervo hereditário, conforme o artigo 292, II, do CPC. Diante disso, o pedido de retificação formulado pelas requerentes (ID 173638627, p. 7, item 'd') deve ser acolhido.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A consequência lógica da majoração do valor da causa é a necessidade de complementação do recolhimento das custas processuais e da taxa judiciária, que foram inicialmente calculadas sobre um valor inferior.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5. Do Plano de Partilha e da Empresa do </w:t>
      </w:r>
      <w:r w:rsidRPr="00841428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De Cujus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As requerentes apresentaram um novo plano de partilha na petição de ID 173638627, já adequado aos valores da avaliação fiscal. No entanto, observo que, ao tratar da empresa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ATELIÊ DE PINTURA FISCHER LTDA.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(CNPJ 37.808.566/0001-54), as partes se limitaram a informar que a atividade será encerrada, sem, contudo, dispor sobre o destino das quotas sociais que pertenciam integralmente ao falecido (ID 161322281).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Para que a partilha seja homologada, é imprescindível que todos os bens e direitos do espólio tenham destinação definida. As quotas de uma sociedade empresária, ainda que inativa ou sem valor de mercado expressivo, constituem um direito patrimonial e devem ser partilhadas entre os herdeiros. O juízo do inventário não possui competência para determinar o encerramento da pessoa jurídica; essa providência cabe aos sócios (agora, os herdeiros que receberem as quotas) perante a Junta Comercial.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Dessa forma, o plano de partilha precisa ser aditado para que conste, expressamente, a quem serão atribuídas as 260.000 quotas sociais da referida empresa.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Da Expedição de Alvarás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As requerentes solicitaram a expedição de alvarás para levantamento de valores e transferência de veículos (ID 173638627, p. 7, item 'c').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Tais pedidos serão analisados em momento oportuno, após a manifestação conclusiva do Ministério Público, a comprovação do pagamento de todos os tributos devidos (ITCMD) e das custas processuais, e a eventual homologação da partilha. A liberação de valores e a transferência definitiva de bens são atos que sucedem a partilha, sendo prematura sua deliberação neste momento processual.</w:t>
      </w:r>
    </w:p>
    <w:p w:rsidR="00841428" w:rsidRPr="00841428" w:rsidRDefault="00841428" w:rsidP="0084142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DISPOSITIVO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Diante do exposto, e considerando o estado atual do processo,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Nomear</w:t>
      </w:r>
      <w:proofErr w:type="gram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, para o encargo de inventariante, a requerente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FLÁVIA NAZARÉ QUINTAIROS DE ASSUNÇÃO FISCHER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já qualificada nos autos, dispensando a lavratura de novo termo de compromisso, em virtude do documento de ID 161361475.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Determinar</w:t>
      </w:r>
      <w:proofErr w:type="gramEnd"/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 retificação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do valor da causa para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R$ 2.871.016,17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(dois milhões, oitocentos e setenta e um mil, dezesseis reais e dezessete centavos), correspondente ao valor total do monte-mor apurado pela Fazenda Estadual (ID 173638636). Proceda a secretaria às anotações necessárias.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Intimar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 inventariante, por meio de seus advogados, para que, no prazo de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sob pena de extinção do processo sem resolução do mérito, promova as seguintes diligências: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c.1) Comprovar o recolhimento das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custas processuais complementares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e da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judiciária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calculadas com base no novo valor da causa, conforme item "b" desta decisão;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c.2) Juntar aos autos o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comprovante de pagamento integral do ITCMD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(Imposto de Transmissão Causa Mortis e Doação), incluindo os valores referentes à transmissão </w:t>
      </w:r>
      <w:r w:rsidRPr="008414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causa mortis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e aos fatos geradores de doação por excesso de meação e de quinhão, conforme apurado no Termo de Avaliação Fiscal de ID 173638636;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c.3) Apresentar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partilha aditado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>, para que conste a destinação das quotas sociais da empresa ATELIÊ DE PINTURA FISCHER LTDA (CNPJ 37.808.566/0001-54) entre os herdeiros, completando a divisão de todo o acervo hereditário.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Postergar</w:t>
      </w:r>
      <w:proofErr w:type="gram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 análise dos pedidos de expedição de alvarás para momento posterior à homologação da partilha.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e) Cumpridas integralmente as determinações do item "c", </w:t>
      </w:r>
      <w:r w:rsidRPr="0084142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renove-se a vista ao Ministério Público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para que se manifeste conclusivamente sobre o feito, em especial sobre a regularidade do plano de partilha e a possibilidade de </w:t>
      </w:r>
      <w:r w:rsidRPr="0084142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manutenção do rito de arrolamento sumário, considerando a proteção dos interesses da herdeira incapaz e os novos elementos juntados aos autos (ID 173638627 e ID 173638636).</w:t>
      </w:r>
    </w:p>
    <w:p w:rsidR="00841428" w:rsidRPr="00841428" w:rsidRDefault="00841428" w:rsidP="00841428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41428">
        <w:rPr>
          <w:rFonts w:ascii="Arial" w:eastAsia="Times New Roman" w:hAnsi="Arial" w:cs="Arial"/>
          <w:sz w:val="24"/>
          <w:szCs w:val="24"/>
          <w:lang w:eastAsia="pt-BR"/>
        </w:rPr>
        <w:t>f) Após</w:t>
      </w:r>
      <w:proofErr w:type="gramEnd"/>
      <w:r w:rsidRPr="00841428">
        <w:rPr>
          <w:rFonts w:ascii="Arial" w:eastAsia="Times New Roman" w:hAnsi="Arial" w:cs="Arial"/>
          <w:sz w:val="24"/>
          <w:szCs w:val="24"/>
          <w:lang w:eastAsia="pt-BR"/>
        </w:rPr>
        <w:t xml:space="preserve"> a manifestação ministerial, retornem os autos conclusos para deliberação final.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Intimem-se as partes, por seus advogados, e o Ministério Público.</w:t>
      </w:r>
    </w:p>
    <w:p w:rsidR="00841428" w:rsidRPr="00841428" w:rsidRDefault="00841428" w:rsidP="00841428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1428"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p w:rsidR="00514CD1" w:rsidRPr="00841428" w:rsidRDefault="00514CD1" w:rsidP="00841428">
      <w:pPr>
        <w:jc w:val="both"/>
        <w:rPr>
          <w:rFonts w:ascii="Arial" w:hAnsi="Arial" w:cs="Arial"/>
          <w:sz w:val="24"/>
          <w:szCs w:val="24"/>
        </w:rPr>
      </w:pPr>
    </w:p>
    <w:sectPr w:rsidR="00514CD1" w:rsidRPr="00841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428"/>
    <w:rsid w:val="00514CD1"/>
    <w:rsid w:val="0084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8E55"/>
  <w15:chartTrackingRefBased/>
  <w15:docId w15:val="{6CF0796E-4F68-4599-915B-0AA20A08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41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41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42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4142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1428"/>
    <w:rPr>
      <w:b/>
      <w:bCs/>
    </w:rPr>
  </w:style>
  <w:style w:type="character" w:styleId="nfase">
    <w:name w:val="Emphasis"/>
    <w:basedOn w:val="Fontepargpadro"/>
    <w:uiPriority w:val="20"/>
    <w:qFormat/>
    <w:rsid w:val="008414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2175</Words>
  <Characters>11751</Characters>
  <Application>Microsoft Office Word</Application>
  <DocSecurity>0</DocSecurity>
  <Lines>97</Lines>
  <Paragraphs>27</Paragraphs>
  <ScaleCrop>false</ScaleCrop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2026-05-01T21:57:00Z</dcterms:created>
  <dcterms:modified xsi:type="dcterms:W3CDTF">2026-05-01T21:59:00Z</dcterms:modified>
</cp:coreProperties>
</file>