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2E6" w:rsidRPr="00A812E6" w:rsidRDefault="00A812E6" w:rsidP="00A812E6">
      <w:pPr>
        <w:pStyle w:val="NormalWeb"/>
        <w:spacing w:before="0" w:beforeAutospacing="0" w:after="5" w:afterAutospacing="0" w:line="276" w:lineRule="auto"/>
        <w:jc w:val="both"/>
        <w:rPr>
          <w:rStyle w:val="Forte"/>
          <w:rFonts w:ascii="Arial" w:hAnsi="Arial" w:cs="Arial"/>
        </w:rPr>
      </w:pPr>
      <w:bookmarkStart w:id="0" w:name="_GoBack"/>
      <w:r w:rsidRPr="00A812E6">
        <w:rPr>
          <w:rFonts w:ascii="Arial" w:hAnsi="Arial" w:cs="Arial"/>
        </w:rPr>
        <w:t>Processo nº</w:t>
      </w:r>
      <w:r w:rsidRPr="00A812E6">
        <w:rPr>
          <w:rFonts w:ascii="Arial" w:hAnsi="Arial" w:cs="Arial"/>
        </w:rPr>
        <w:t xml:space="preserve"> </w:t>
      </w:r>
      <w:r w:rsidRPr="00A812E6">
        <w:rPr>
          <w:rStyle w:val="Forte"/>
          <w:rFonts w:ascii="Arial" w:hAnsi="Arial" w:cs="Arial"/>
        </w:rPr>
        <w:t>0801275-90.2019.8.14.0301</w:t>
      </w:r>
      <w:bookmarkEnd w:id="0"/>
    </w:p>
    <w:p w:rsidR="00A812E6" w:rsidRPr="00A812E6" w:rsidRDefault="00A812E6" w:rsidP="00A812E6">
      <w:pPr>
        <w:pStyle w:val="NormalWeb"/>
        <w:spacing w:before="0" w:beforeAutospacing="0" w:after="5" w:afterAutospacing="0" w:line="276" w:lineRule="auto"/>
        <w:jc w:val="both"/>
        <w:rPr>
          <w:rFonts w:ascii="Arial" w:hAnsi="Arial" w:cs="Arial"/>
          <w:b/>
          <w:bCs/>
        </w:rPr>
      </w:pPr>
      <w:r w:rsidRPr="00A812E6">
        <w:rPr>
          <w:rFonts w:ascii="Arial" w:hAnsi="Arial" w:cs="Arial"/>
          <w:b/>
        </w:rPr>
        <w:t>DECISÃO</w:t>
      </w:r>
    </w:p>
    <w:p w:rsidR="00A812E6" w:rsidRPr="00A812E6" w:rsidRDefault="00A812E6" w:rsidP="00A812E6">
      <w:pPr>
        <w:pStyle w:val="Ttulo1"/>
        <w:spacing w:before="0" w:beforeAutospacing="0" w:after="5" w:afterAutospacing="0" w:line="276" w:lineRule="auto"/>
        <w:jc w:val="both"/>
        <w:rPr>
          <w:rFonts w:ascii="Arial" w:hAnsi="Arial" w:cs="Arial"/>
          <w:sz w:val="24"/>
          <w:szCs w:val="24"/>
        </w:rPr>
      </w:pPr>
      <w:r w:rsidRPr="00A812E6">
        <w:rPr>
          <w:rFonts w:ascii="Arial" w:hAnsi="Arial" w:cs="Arial"/>
          <w:sz w:val="24"/>
          <w:szCs w:val="24"/>
        </w:rPr>
        <w:t>1. RELATÓRIO</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 xml:space="preserve">Trata-se de </w:t>
      </w:r>
      <w:r w:rsidRPr="00A812E6">
        <w:rPr>
          <w:rStyle w:val="Forte"/>
          <w:rFonts w:ascii="Arial" w:hAnsi="Arial" w:cs="Arial"/>
        </w:rPr>
        <w:t>AÇÃO MONITÓRIA</w:t>
      </w:r>
      <w:r w:rsidRPr="00A812E6">
        <w:rPr>
          <w:rFonts w:ascii="Arial" w:hAnsi="Arial" w:cs="Arial"/>
        </w:rPr>
        <w:t xml:space="preserve"> ajuizada por </w:t>
      </w:r>
      <w:r w:rsidRPr="00A812E6">
        <w:rPr>
          <w:rStyle w:val="Forte"/>
          <w:rFonts w:ascii="Arial" w:hAnsi="Arial" w:cs="Arial"/>
        </w:rPr>
        <w:t>BANCO BRADESCO FINANCIAMENTOS S.A.</w:t>
      </w:r>
      <w:r w:rsidRPr="00A812E6">
        <w:rPr>
          <w:rFonts w:ascii="Arial" w:hAnsi="Arial" w:cs="Arial"/>
        </w:rPr>
        <w:t xml:space="preserve"> em face de </w:t>
      </w:r>
      <w:r w:rsidRPr="00A812E6">
        <w:rPr>
          <w:rStyle w:val="Forte"/>
          <w:rFonts w:ascii="Arial" w:hAnsi="Arial" w:cs="Arial"/>
        </w:rPr>
        <w:t>DAVY DIAS DA SILVA</w:t>
      </w:r>
      <w:r w:rsidRPr="00A812E6">
        <w:rPr>
          <w:rFonts w:ascii="Arial" w:hAnsi="Arial" w:cs="Arial"/>
        </w:rPr>
        <w:t xml:space="preserve">, objetivando a cobrança de dívida decorrente de Contrato de Empréstimo Pessoal Consignado em Folha de Pagamento nº 810414133 (ID 8020855), cuja petição inicial apontava débito de </w:t>
      </w:r>
      <w:r w:rsidRPr="00A812E6">
        <w:rPr>
          <w:rStyle w:val="Forte"/>
          <w:rFonts w:ascii="Arial" w:hAnsi="Arial" w:cs="Arial"/>
        </w:rPr>
        <w:t>R$ 123.501,22</w:t>
      </w:r>
      <w:r w:rsidRPr="00A812E6">
        <w:rPr>
          <w:rFonts w:ascii="Arial" w:hAnsi="Arial" w:cs="Arial"/>
        </w:rPr>
        <w:t xml:space="preserve"> (ID 8020847).</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 xml:space="preserve">Devidamente citado por Oficial de Justiça (ID 105810835), o requerido constituiu patrono nos autos (ID 106426185) e apresentou </w:t>
      </w:r>
      <w:r w:rsidRPr="00A812E6">
        <w:rPr>
          <w:rStyle w:val="Forte"/>
          <w:rFonts w:ascii="Arial" w:hAnsi="Arial" w:cs="Arial"/>
        </w:rPr>
        <w:t>Embargos à Monitória</w:t>
      </w:r>
      <w:r w:rsidRPr="00A812E6">
        <w:rPr>
          <w:rFonts w:ascii="Arial" w:hAnsi="Arial" w:cs="Arial"/>
        </w:rPr>
        <w:t xml:space="preserve"> (ID 106427495), sustentando a regularidade e a continuidade dos descontos em sua folha de pagamento junto à Marinha do Brasil (PAPEM). Juntou fichas financeiras comprovando o pagamento parcial de </w:t>
      </w:r>
      <w:r w:rsidRPr="00A812E6">
        <w:rPr>
          <w:rStyle w:val="Forte"/>
          <w:rFonts w:ascii="Arial" w:hAnsi="Arial" w:cs="Arial"/>
        </w:rPr>
        <w:t>53 parcelas</w:t>
      </w:r>
      <w:r w:rsidRPr="00A812E6">
        <w:rPr>
          <w:rFonts w:ascii="Arial" w:hAnsi="Arial" w:cs="Arial"/>
        </w:rPr>
        <w:t xml:space="preserve"> das 72 originalmente pactuadas (ID 106427497, ID 106427498, ID 106427499, ID 106427500 e ID 106427502).</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 xml:space="preserve">Após manifestação em réplica pela instituição financeira (ID 108937925), sobreveio a </w:t>
      </w:r>
      <w:r w:rsidRPr="00A812E6">
        <w:rPr>
          <w:rStyle w:val="Forte"/>
          <w:rFonts w:ascii="Arial" w:hAnsi="Arial" w:cs="Arial"/>
        </w:rPr>
        <w:t>Sentença de ID 117323262</w:t>
      </w:r>
      <w:r w:rsidRPr="00A812E6">
        <w:rPr>
          <w:rFonts w:ascii="Arial" w:hAnsi="Arial" w:cs="Arial"/>
        </w:rPr>
        <w:t>, a qual acolheu parcialmente os embargos monitórios para afastar a pretensão sobre as 53 parcelas pagas, convertendo o mandado inicial em executivo quanto às parcelas remanescentes, reconhecendo a sucumbência recíproca e isentando o réu dos encargos sucumbenciais por ser beneficiário da justiça gratuita.</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 xml:space="preserve">O requerido opôs Embargos de Declaração (ID 117696118), apontando que os descontos em folha persistiam normalmente, totalizando, à época, 60 parcelas quitadas, com previsão de encerramento contratual em junho de 2025. Os embargos </w:t>
      </w:r>
      <w:proofErr w:type="spellStart"/>
      <w:r w:rsidRPr="00A812E6">
        <w:rPr>
          <w:rFonts w:ascii="Arial" w:hAnsi="Arial" w:cs="Arial"/>
        </w:rPr>
        <w:t>aclaratórios</w:t>
      </w:r>
      <w:proofErr w:type="spellEnd"/>
      <w:r w:rsidRPr="00A812E6">
        <w:rPr>
          <w:rFonts w:ascii="Arial" w:hAnsi="Arial" w:cs="Arial"/>
        </w:rPr>
        <w:t xml:space="preserve"> foram rejeitados por meio da decisão de ID 134151847, por entender o Juízo tratar-se de matéria afeita à via recursal de apelação.</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 xml:space="preserve">Inconformado, o </w:t>
      </w:r>
      <w:r w:rsidRPr="00A812E6">
        <w:rPr>
          <w:rStyle w:val="Forte"/>
          <w:rFonts w:ascii="Arial" w:hAnsi="Arial" w:cs="Arial"/>
        </w:rPr>
        <w:t>BANCO BRADESCO FINANCIAMENTOS S.A.</w:t>
      </w:r>
      <w:r w:rsidRPr="00A812E6">
        <w:rPr>
          <w:rFonts w:ascii="Arial" w:hAnsi="Arial" w:cs="Arial"/>
        </w:rPr>
        <w:t xml:space="preserve"> interpôs </w:t>
      </w:r>
      <w:r w:rsidRPr="00A812E6">
        <w:rPr>
          <w:rStyle w:val="Forte"/>
          <w:rFonts w:ascii="Arial" w:hAnsi="Arial" w:cs="Arial"/>
        </w:rPr>
        <w:t>Recurso de Apelação</w:t>
      </w:r>
      <w:r w:rsidRPr="00A812E6">
        <w:rPr>
          <w:rFonts w:ascii="Arial" w:hAnsi="Arial" w:cs="Arial"/>
        </w:rPr>
        <w:t xml:space="preserve"> (ID 119071105), pretendendo a atribuição integral dos ônus sucumbenciais ao réu com base no princípio da causalidade ou, subsidiariamente, a minoração dos honorários sucumbenciais fixados.</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 xml:space="preserve">O requerido apresentou contrarrazões ao recurso (ID 138451690), demonstrando que, até março de 2025, já haviam sido adimplidas </w:t>
      </w:r>
      <w:r w:rsidRPr="00A812E6">
        <w:rPr>
          <w:rStyle w:val="Forte"/>
          <w:rFonts w:ascii="Arial" w:hAnsi="Arial" w:cs="Arial"/>
        </w:rPr>
        <w:t>69 das 72 parcelas</w:t>
      </w:r>
      <w:r w:rsidRPr="00A812E6">
        <w:rPr>
          <w:rFonts w:ascii="Arial" w:hAnsi="Arial" w:cs="Arial"/>
        </w:rPr>
        <w:t xml:space="preserve"> contratadas (ID 138451691), restando apenas 3 parcelas para a integral quitação do mútuo.</w:t>
      </w:r>
    </w:p>
    <w:p w:rsidR="00A812E6" w:rsidRPr="00A812E6" w:rsidRDefault="00A812E6" w:rsidP="00A812E6">
      <w:pPr>
        <w:pStyle w:val="NormalWeb"/>
        <w:spacing w:before="0" w:beforeAutospacing="0" w:after="5" w:afterAutospacing="0" w:line="276" w:lineRule="auto"/>
        <w:jc w:val="both"/>
        <w:rPr>
          <w:rFonts w:ascii="Arial" w:hAnsi="Arial" w:cs="Arial"/>
        </w:rPr>
      </w:pPr>
      <w:r w:rsidRPr="00A812E6">
        <w:rPr>
          <w:rFonts w:ascii="Arial" w:hAnsi="Arial" w:cs="Arial"/>
        </w:rPr>
        <w:t xml:space="preserve">O Egrégio Tribunal de Justiça do Estado do Pará, por meio de </w:t>
      </w:r>
      <w:r w:rsidRPr="00A812E6">
        <w:rPr>
          <w:rStyle w:val="Forte"/>
          <w:rFonts w:ascii="Arial" w:hAnsi="Arial" w:cs="Arial"/>
        </w:rPr>
        <w:t xml:space="preserve">Decisão Monocrática da Desembargadora Relatora </w:t>
      </w:r>
      <w:proofErr w:type="spellStart"/>
      <w:r w:rsidRPr="00A812E6">
        <w:rPr>
          <w:rStyle w:val="Forte"/>
          <w:rFonts w:ascii="Arial" w:hAnsi="Arial" w:cs="Arial"/>
        </w:rPr>
        <w:t>Margui</w:t>
      </w:r>
      <w:proofErr w:type="spellEnd"/>
      <w:r w:rsidRPr="00A812E6">
        <w:rPr>
          <w:rStyle w:val="Forte"/>
          <w:rFonts w:ascii="Arial" w:hAnsi="Arial" w:cs="Arial"/>
        </w:rPr>
        <w:t xml:space="preserve"> Gaspar Bittencourt</w:t>
      </w:r>
      <w:r w:rsidRPr="00A812E6">
        <w:rPr>
          <w:rFonts w:ascii="Arial" w:hAnsi="Arial" w:cs="Arial"/>
        </w:rPr>
        <w:t xml:space="preserve"> (</w:t>
      </w:r>
      <w:proofErr w:type="spellStart"/>
      <w:r w:rsidRPr="00A812E6">
        <w:rPr>
          <w:rFonts w:ascii="Arial" w:hAnsi="Arial" w:cs="Arial"/>
        </w:rPr>
        <w:t>IDs</w:t>
      </w:r>
      <w:proofErr w:type="spellEnd"/>
      <w:r w:rsidRPr="00A812E6">
        <w:rPr>
          <w:rFonts w:ascii="Arial" w:hAnsi="Arial" w:cs="Arial"/>
        </w:rPr>
        <w:t xml:space="preserve"> 156286702 e 156286703), </w:t>
      </w:r>
      <w:r w:rsidRPr="00A812E6">
        <w:rPr>
          <w:rStyle w:val="Forte"/>
          <w:rFonts w:ascii="Arial" w:hAnsi="Arial" w:cs="Arial"/>
        </w:rPr>
        <w:t>negou provimento ao recurso de apelação</w:t>
      </w:r>
      <w:r w:rsidRPr="00A812E6">
        <w:rPr>
          <w:rFonts w:ascii="Arial" w:hAnsi="Arial" w:cs="Arial"/>
        </w:rPr>
        <w:t xml:space="preserve">, mantendo integralmente a sentença de primeiro grau. A referida decisão transitou livremente em julgado em </w:t>
      </w:r>
      <w:r w:rsidRPr="00A812E6">
        <w:rPr>
          <w:rStyle w:val="Forte"/>
          <w:rFonts w:ascii="Arial" w:hAnsi="Arial" w:cs="Arial"/>
        </w:rPr>
        <w:t>09/09/2025</w:t>
      </w:r>
      <w:r w:rsidRPr="00A812E6">
        <w:rPr>
          <w:rFonts w:ascii="Arial" w:hAnsi="Arial" w:cs="Arial"/>
        </w:rPr>
        <w:t xml:space="preserve"> (ID 156286704).</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Com o retorno dos autos ao juízo de origem, as partes foram intimadas para manifestação (ID 157230654).</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 xml:space="preserve">Nesse intermeio, o requerido peticionou nos autos (ID 157629518) juntando o </w:t>
      </w:r>
      <w:r w:rsidRPr="00A812E6">
        <w:rPr>
          <w:rStyle w:val="Forte"/>
          <w:rFonts w:ascii="Arial" w:hAnsi="Arial" w:cs="Arial"/>
        </w:rPr>
        <w:t xml:space="preserve">Demonstrativo do Portal de Consignação da Marinha do Brasil </w:t>
      </w:r>
      <w:r w:rsidRPr="00A812E6">
        <w:rPr>
          <w:rStyle w:val="Forte"/>
          <w:rFonts w:ascii="Arial" w:hAnsi="Arial" w:cs="Arial"/>
        </w:rPr>
        <w:lastRenderedPageBreak/>
        <w:t>(</w:t>
      </w:r>
      <w:proofErr w:type="spellStart"/>
      <w:r w:rsidRPr="00A812E6">
        <w:rPr>
          <w:rStyle w:val="Forte"/>
          <w:rFonts w:ascii="Arial" w:hAnsi="Arial" w:cs="Arial"/>
        </w:rPr>
        <w:t>eConsig</w:t>
      </w:r>
      <w:proofErr w:type="spellEnd"/>
      <w:r w:rsidRPr="00A812E6">
        <w:rPr>
          <w:rStyle w:val="Forte"/>
          <w:rFonts w:ascii="Arial" w:hAnsi="Arial" w:cs="Arial"/>
        </w:rPr>
        <w:t>)</w:t>
      </w:r>
      <w:r w:rsidRPr="00A812E6">
        <w:rPr>
          <w:rFonts w:ascii="Arial" w:hAnsi="Arial" w:cs="Arial"/>
        </w:rPr>
        <w:t xml:space="preserve"> sob o ID 157629520, demonstrando a </w:t>
      </w:r>
      <w:r w:rsidRPr="00A812E6">
        <w:rPr>
          <w:rStyle w:val="Forte"/>
          <w:rFonts w:ascii="Arial" w:hAnsi="Arial" w:cs="Arial"/>
        </w:rPr>
        <w:t>conclusão, liquidação e quitação integral</w:t>
      </w:r>
      <w:r w:rsidRPr="00A812E6">
        <w:rPr>
          <w:rFonts w:ascii="Arial" w:hAnsi="Arial" w:cs="Arial"/>
        </w:rPr>
        <w:t xml:space="preserve"> do contrato discutido na presente lide, ocorrida em </w:t>
      </w:r>
      <w:r w:rsidRPr="00A812E6">
        <w:rPr>
          <w:rStyle w:val="Forte"/>
          <w:rFonts w:ascii="Arial" w:hAnsi="Arial" w:cs="Arial"/>
        </w:rPr>
        <w:t>22/07/2025</w:t>
      </w:r>
      <w:r w:rsidRPr="00A812E6">
        <w:rPr>
          <w:rFonts w:ascii="Arial" w:hAnsi="Arial" w:cs="Arial"/>
        </w:rPr>
        <w:t>, com a efetivação das 72 parcelas previstas.</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Instado a se manifestar acerca do documento de quitação e do interesse no prosseguimento do feito, o banco autor deixou transcorrer o prazo sem manifestação.</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Vieram os autos conclusos para deliberação e saneamento do feito.</w:t>
      </w:r>
    </w:p>
    <w:p w:rsidR="00A812E6" w:rsidRPr="00A812E6" w:rsidRDefault="00A812E6" w:rsidP="00A812E6">
      <w:pPr>
        <w:pStyle w:val="Ttulo1"/>
        <w:spacing w:before="0" w:beforeAutospacing="0" w:after="5" w:afterAutospacing="0" w:line="276" w:lineRule="auto"/>
        <w:jc w:val="both"/>
        <w:rPr>
          <w:rFonts w:ascii="Arial" w:hAnsi="Arial" w:cs="Arial"/>
          <w:sz w:val="24"/>
          <w:szCs w:val="24"/>
        </w:rPr>
      </w:pPr>
      <w:r w:rsidRPr="00A812E6">
        <w:rPr>
          <w:rFonts w:ascii="Arial" w:hAnsi="Arial" w:cs="Arial"/>
          <w:sz w:val="24"/>
          <w:szCs w:val="24"/>
        </w:rPr>
        <w:t>2. FUNDAMENTAÇÃO</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Compete a este Juízo analisar o atual estado dos autos e os pedidos pendentes, notadamente quanto à ocorrência de fato superveniente que impacta diretamente o interesse processual da lide, consubstanciado na quitação integral do débito objeto da presente demanda durante o curso do processo.</w:t>
      </w:r>
    </w:p>
    <w:p w:rsidR="00A812E6" w:rsidRPr="00A812E6" w:rsidRDefault="00A812E6" w:rsidP="00A812E6">
      <w:pPr>
        <w:pStyle w:val="Ttulo2"/>
        <w:spacing w:before="0" w:beforeAutospacing="0" w:after="5" w:afterAutospacing="0" w:line="276" w:lineRule="auto"/>
        <w:jc w:val="both"/>
        <w:rPr>
          <w:rFonts w:ascii="Arial" w:hAnsi="Arial" w:cs="Arial"/>
          <w:sz w:val="24"/>
          <w:szCs w:val="24"/>
        </w:rPr>
      </w:pPr>
      <w:r w:rsidRPr="00A812E6">
        <w:rPr>
          <w:rFonts w:ascii="Arial" w:hAnsi="Arial" w:cs="Arial"/>
          <w:sz w:val="24"/>
          <w:szCs w:val="24"/>
        </w:rPr>
        <w:t>2.1. Do Fato Superveniente e da Necessidade de Manifestação do Credor</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 xml:space="preserve">Conforme se extrai dos autos, a pretensão inicial do </w:t>
      </w:r>
      <w:r w:rsidRPr="00A812E6">
        <w:rPr>
          <w:rStyle w:val="Forte"/>
          <w:rFonts w:ascii="Arial" w:hAnsi="Arial" w:cs="Arial"/>
        </w:rPr>
        <w:t>BANCO BRADESCO FINANCIAMENTOS S.A.</w:t>
      </w:r>
      <w:r w:rsidRPr="00A812E6">
        <w:rPr>
          <w:rFonts w:ascii="Arial" w:hAnsi="Arial" w:cs="Arial"/>
        </w:rPr>
        <w:t xml:space="preserve"> busca o recebimento de valores decorrentes de contrato de empréstimo consignado inadimplido.</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 xml:space="preserve">No curso do processo, o requerido alegou que os descontos em folha de pagamento foram restabelecidos e continuaram a ser processados de forma mensal pela fonte pagadora, trazendo o Demonstrativo </w:t>
      </w:r>
      <w:proofErr w:type="spellStart"/>
      <w:r w:rsidRPr="00A812E6">
        <w:rPr>
          <w:rFonts w:ascii="Arial" w:hAnsi="Arial" w:cs="Arial"/>
        </w:rPr>
        <w:t>eConsig</w:t>
      </w:r>
      <w:proofErr w:type="spellEnd"/>
      <w:r w:rsidRPr="00A812E6">
        <w:rPr>
          <w:rFonts w:ascii="Arial" w:hAnsi="Arial" w:cs="Arial"/>
        </w:rPr>
        <w:t xml:space="preserve"> (ID 157629520) emitido pelo sistema de consignação da Marinha do Brasil, que indica a situação "CONCLUÍDO" e aponta o adimplemento de 72 parcelas.</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O artigo 493 do Código de Processo Civil estabelece que, se depois da propositura da ação, algum fato constitutivo, modificativo ou extintivo do direito influir no julgamento do mérito, caberá ao juiz tomá-lo em consideração.</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Antes de qualquer deliberação quanto à eventual extinção da obrigação ou perda do objeto do feito, mostra-se indispensável oportunizar o contraditório à instituição financeira credora.</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Desse modo, impõe-se a intimação do banco credor para que se manifeste de forma específica sobre as alegações de quitação integral apresentadas pelo devedor (ID 157629518), garantindo-se a segurança jurídica e a cooperação processual.</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No tocante aos ônus sucumbenciais da fase de conhecimento (monitória), estes já foram devidamente definidos pela Sentença de ID 117323262, que fixou a sucumbência recíproca. Essa distribuição foi integralmente confirmada pelo Tribunal de Justiça em sede de Apelação Cível (</w:t>
      </w:r>
      <w:proofErr w:type="spellStart"/>
      <w:r w:rsidRPr="00A812E6">
        <w:rPr>
          <w:rFonts w:ascii="Arial" w:hAnsi="Arial" w:cs="Arial"/>
        </w:rPr>
        <w:t>IDs</w:t>
      </w:r>
      <w:proofErr w:type="spellEnd"/>
      <w:r w:rsidRPr="00A812E6">
        <w:rPr>
          <w:rFonts w:ascii="Arial" w:hAnsi="Arial" w:cs="Arial"/>
        </w:rPr>
        <w:t xml:space="preserve"> 156286702 e 156286703), decisão </w:t>
      </w:r>
      <w:proofErr w:type="spellStart"/>
      <w:r w:rsidRPr="00A812E6">
        <w:rPr>
          <w:rFonts w:ascii="Arial" w:hAnsi="Arial" w:cs="Arial"/>
        </w:rPr>
        <w:t>esta</w:t>
      </w:r>
      <w:proofErr w:type="spellEnd"/>
      <w:r w:rsidRPr="00A812E6">
        <w:rPr>
          <w:rFonts w:ascii="Arial" w:hAnsi="Arial" w:cs="Arial"/>
        </w:rPr>
        <w:t xml:space="preserve"> acobertada pela imutabilidade da coisa julgada (ID 156286704).</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No que tange aos atos subsequentes e à fase executiva, verifica-se que o requerido necessitou vir a juízo demonstrar documentalmente a regularidade dos descontos que persistiam em sua folha, tendo obtido a quitação integral do contrato pela via administrativa contratada (consignação) sem que houvesse necessidade de qualquer ato coercitivo de penhora ou expropriação judicial.</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lastRenderedPageBreak/>
        <w:t>Dessa forma, inexistindo saldo residual e demonstrada a quitação integral do contrato de ID 8020855 diretamente na folha de pagamento do réu, inexistem custas remanescentes ou honorários adicionais a serem fixados nesta etapa, restando extinta a lide pelo adimplemento da obrigação.</w:t>
      </w:r>
    </w:p>
    <w:p w:rsidR="00A812E6" w:rsidRPr="00A812E6" w:rsidRDefault="00A812E6" w:rsidP="00A812E6">
      <w:pPr>
        <w:pStyle w:val="Ttulo1"/>
        <w:spacing w:before="0" w:beforeAutospacing="0" w:after="5" w:afterAutospacing="0" w:line="276" w:lineRule="auto"/>
        <w:jc w:val="both"/>
        <w:rPr>
          <w:rFonts w:ascii="Arial" w:hAnsi="Arial" w:cs="Arial"/>
          <w:sz w:val="24"/>
          <w:szCs w:val="24"/>
        </w:rPr>
      </w:pPr>
      <w:r w:rsidRPr="00A812E6">
        <w:rPr>
          <w:rFonts w:ascii="Arial" w:hAnsi="Arial" w:cs="Arial"/>
          <w:sz w:val="24"/>
          <w:szCs w:val="24"/>
        </w:rPr>
        <w:t>3. DECISÃO</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Diante do exposto, para garantir o contraditório e a segurança jurídica, determino as seguintes providências:</w:t>
      </w:r>
    </w:p>
    <w:p w:rsidR="00A812E6" w:rsidRPr="00A812E6" w:rsidRDefault="00A812E6" w:rsidP="00A812E6">
      <w:pPr>
        <w:pStyle w:val="NormalWeb"/>
        <w:spacing w:before="0" w:beforeAutospacing="0" w:after="5" w:afterAutospacing="0" w:line="276" w:lineRule="auto"/>
        <w:jc w:val="both"/>
        <w:rPr>
          <w:rFonts w:ascii="Arial" w:hAnsi="Arial" w:cs="Arial"/>
        </w:rPr>
      </w:pPr>
      <w:proofErr w:type="gramStart"/>
      <w:r w:rsidRPr="00A812E6">
        <w:rPr>
          <w:rFonts w:ascii="Arial" w:hAnsi="Arial" w:cs="Arial"/>
        </w:rPr>
        <w:t>a) Intime-se</w:t>
      </w:r>
      <w:proofErr w:type="gramEnd"/>
      <w:r w:rsidRPr="00A812E6">
        <w:rPr>
          <w:rFonts w:ascii="Arial" w:hAnsi="Arial" w:cs="Arial"/>
        </w:rPr>
        <w:t xml:space="preserve"> a parte autora para que, no prazo de 15 dias úteis, se manifeste expressamente sobre os documentos de ID 157629518 e ID 157629520, que indicam a quitação integral do débito discutido na presente ação;</w:t>
      </w:r>
    </w:p>
    <w:p w:rsidR="00A812E6" w:rsidRPr="00A812E6" w:rsidRDefault="00A812E6" w:rsidP="00A812E6">
      <w:pPr>
        <w:pStyle w:val="NormalWeb"/>
        <w:spacing w:before="0" w:beforeAutospacing="0" w:after="5" w:afterAutospacing="0" w:line="276" w:lineRule="auto"/>
        <w:jc w:val="both"/>
        <w:rPr>
          <w:rFonts w:ascii="Arial" w:hAnsi="Arial" w:cs="Arial"/>
        </w:rPr>
      </w:pPr>
      <w:proofErr w:type="gramStart"/>
      <w:r w:rsidRPr="00A812E6">
        <w:rPr>
          <w:rFonts w:ascii="Arial" w:hAnsi="Arial" w:cs="Arial"/>
        </w:rPr>
        <w:t>b) Com</w:t>
      </w:r>
      <w:proofErr w:type="gramEnd"/>
      <w:r w:rsidRPr="00A812E6">
        <w:rPr>
          <w:rFonts w:ascii="Arial" w:hAnsi="Arial" w:cs="Arial"/>
        </w:rPr>
        <w:t xml:space="preserve"> a manifestação ou decorrido o prazo sem resposta, retornem os autos conclusos para novas deliberações.</w:t>
      </w:r>
    </w:p>
    <w:p w:rsidR="00A812E6" w:rsidRPr="00A812E6" w:rsidRDefault="00A812E6" w:rsidP="00A812E6">
      <w:pPr>
        <w:pStyle w:val="NormalWeb"/>
        <w:spacing w:before="0" w:beforeAutospacing="0" w:after="5" w:afterAutospacing="0" w:line="276" w:lineRule="auto"/>
        <w:ind w:firstLine="1134"/>
        <w:jc w:val="both"/>
        <w:rPr>
          <w:rFonts w:ascii="Arial" w:hAnsi="Arial" w:cs="Arial"/>
        </w:rPr>
      </w:pPr>
      <w:r w:rsidRPr="00A812E6">
        <w:rPr>
          <w:rFonts w:ascii="Arial" w:hAnsi="Arial" w:cs="Arial"/>
        </w:rPr>
        <w:t>Publique-se. Registre-se. Intimem-se.</w:t>
      </w:r>
    </w:p>
    <w:p w:rsidR="007B5610" w:rsidRPr="00A812E6" w:rsidRDefault="007B5610" w:rsidP="00A812E6">
      <w:pPr>
        <w:spacing w:after="5" w:line="276" w:lineRule="auto"/>
        <w:jc w:val="both"/>
        <w:rPr>
          <w:rFonts w:ascii="Arial" w:hAnsi="Arial" w:cs="Arial"/>
          <w:sz w:val="24"/>
          <w:szCs w:val="24"/>
        </w:rPr>
      </w:pPr>
    </w:p>
    <w:sectPr w:rsidR="007B5610" w:rsidRPr="00A812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2E6"/>
    <w:rsid w:val="007B5610"/>
    <w:rsid w:val="00A812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1231"/>
  <w15:chartTrackingRefBased/>
  <w15:docId w15:val="{5B2E3612-A1D0-4322-8BA8-E24DB3FD3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812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812E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812E6"/>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812E6"/>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A812E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812E6"/>
    <w:rPr>
      <w:b/>
      <w:bCs/>
    </w:rPr>
  </w:style>
  <w:style w:type="character" w:styleId="nfase">
    <w:name w:val="Emphasis"/>
    <w:basedOn w:val="Fontepargpadro"/>
    <w:uiPriority w:val="20"/>
    <w:qFormat/>
    <w:rsid w:val="00A812E6"/>
    <w:rPr>
      <w:i/>
      <w:iCs/>
    </w:rPr>
  </w:style>
  <w:style w:type="character" w:customStyle="1" w:styleId="bg-red-100">
    <w:name w:val="bg-red-100"/>
    <w:basedOn w:val="Fontepargpadro"/>
    <w:rsid w:val="00A812E6"/>
  </w:style>
  <w:style w:type="character" w:customStyle="1" w:styleId="bg-green-100">
    <w:name w:val="bg-green-100"/>
    <w:basedOn w:val="Fontepargpadro"/>
    <w:rsid w:val="00A81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446665">
      <w:bodyDiv w:val="1"/>
      <w:marLeft w:val="0"/>
      <w:marRight w:val="0"/>
      <w:marTop w:val="0"/>
      <w:marBottom w:val="0"/>
      <w:divBdr>
        <w:top w:val="none" w:sz="0" w:space="0" w:color="auto"/>
        <w:left w:val="none" w:sz="0" w:space="0" w:color="auto"/>
        <w:bottom w:val="none" w:sz="0" w:space="0" w:color="auto"/>
        <w:right w:val="none" w:sz="0" w:space="0" w:color="auto"/>
      </w:divBdr>
    </w:div>
    <w:div w:id="1933010118">
      <w:bodyDiv w:val="1"/>
      <w:marLeft w:val="0"/>
      <w:marRight w:val="0"/>
      <w:marTop w:val="0"/>
      <w:marBottom w:val="0"/>
      <w:divBdr>
        <w:top w:val="none" w:sz="0" w:space="0" w:color="auto"/>
        <w:left w:val="none" w:sz="0" w:space="0" w:color="auto"/>
        <w:bottom w:val="none" w:sz="0" w:space="0" w:color="auto"/>
        <w:right w:val="none" w:sz="0" w:space="0" w:color="auto"/>
      </w:divBdr>
      <w:divsChild>
        <w:div w:id="1483548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968</Words>
  <Characters>5232</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2026-05-20T17:35:00Z</dcterms:created>
  <dcterms:modified xsi:type="dcterms:W3CDTF">2026-05-20T19:19:00Z</dcterms:modified>
</cp:coreProperties>
</file>