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0E8" w:rsidRPr="003740E8" w:rsidRDefault="003740E8" w:rsidP="003740E8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</w:pPr>
      <w:r w:rsidRPr="003740E8"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  <w:t>Processo n. 0905776-85.2025.8.14.0301</w:t>
      </w:r>
    </w:p>
    <w:p w:rsidR="003740E8" w:rsidRPr="003740E8" w:rsidRDefault="003740E8" w:rsidP="003740E8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3740E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DECISÃO</w:t>
      </w:r>
    </w:p>
    <w:p w:rsidR="003740E8" w:rsidRPr="003740E8" w:rsidRDefault="003740E8" w:rsidP="003740E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bookmarkStart w:id="0" w:name="_GoBack"/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RELATÓRIO</w:t>
      </w:r>
    </w:p>
    <w:p w:rsidR="003740E8" w:rsidRPr="003740E8" w:rsidRDefault="003740E8" w:rsidP="003740E8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Carta Precatória Cível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 expedida pelo Juízo da 4ª Vara de Família, Órfãos e Sucessões de Macapá/AP (nos autos do </w:t>
      </w: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Inventário nº 6009538-65.2025.8.03.0001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), com a finalidade de </w:t>
      </w: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citar LUCIA HELENA DIAS LEITE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 para os termos da ação de inventário, cientificando-a do inteiro teor da petição inicial e do prazo de 15 (quinze) dias para contestação, sob pena de revelia (art. 344 do CPC).</w:t>
      </w:r>
    </w:p>
    <w:p w:rsidR="003740E8" w:rsidRPr="003740E8" w:rsidRDefault="003740E8" w:rsidP="003740E8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A carta precatória foi inicialmente distribuída à </w:t>
      </w: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4ª Vara de Família da Comarca de Belém/PA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, que determinou seu cumprimento (ID 163160376 — Despacho de 15/12/2025). Posteriormente, a </w:t>
      </w:r>
      <w:proofErr w:type="spellStart"/>
      <w:r w:rsidRPr="003740E8">
        <w:rPr>
          <w:rFonts w:ascii="Arial" w:eastAsia="Times New Roman" w:hAnsi="Arial" w:cs="Arial"/>
          <w:sz w:val="24"/>
          <w:szCs w:val="24"/>
          <w:lang w:eastAsia="pt-BR"/>
        </w:rPr>
        <w:t>Secretaria-Geral</w:t>
      </w:r>
      <w:proofErr w:type="spellEnd"/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 da UPJ das Varas de Família da Capital certificou que o objeto da carta se origina de </w:t>
      </w: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inventário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, cuja competência é das </w:t>
      </w: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Varas Cíveis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, não das Varas de Família (ID 168347969 — Certidão de 24/02/2026). Em razão disso, a </w:t>
      </w:r>
      <w:proofErr w:type="spellStart"/>
      <w:r w:rsidRPr="003740E8">
        <w:rPr>
          <w:rFonts w:ascii="Arial" w:eastAsia="Times New Roman" w:hAnsi="Arial" w:cs="Arial"/>
          <w:sz w:val="24"/>
          <w:szCs w:val="24"/>
          <w:lang w:eastAsia="pt-BR"/>
        </w:rPr>
        <w:t>deprecata</w:t>
      </w:r>
      <w:proofErr w:type="spellEnd"/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 foi </w:t>
      </w: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redistribuída a esta 11ª Vara Cível e Empresarial de Belém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>, conforme consta do cadastro processual (ID 162966178 — fls. 1).</w:t>
      </w:r>
    </w:p>
    <w:p w:rsidR="003740E8" w:rsidRPr="003740E8" w:rsidRDefault="003740E8" w:rsidP="00BD2AA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740E8">
        <w:rPr>
          <w:rFonts w:ascii="Arial" w:eastAsia="Times New Roman" w:hAnsi="Arial" w:cs="Arial"/>
          <w:sz w:val="24"/>
          <w:szCs w:val="24"/>
          <w:lang w:eastAsia="pt-BR"/>
        </w:rPr>
        <w:t>Os autos não registram qualquer cumprimento da diligência até o momento.</w:t>
      </w:r>
    </w:p>
    <w:p w:rsidR="003740E8" w:rsidRPr="003740E8" w:rsidRDefault="003740E8" w:rsidP="003740E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FUNDAMENTAÇÃO</w:t>
      </w:r>
    </w:p>
    <w:p w:rsidR="003740E8" w:rsidRPr="003740E8" w:rsidRDefault="003740E8" w:rsidP="003740E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Competência e regularidade formal da carta precatória</w:t>
      </w:r>
    </w:p>
    <w:p w:rsidR="003740E8" w:rsidRPr="003740E8" w:rsidRDefault="003740E8" w:rsidP="00BD2AA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Carta Precatória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 foi expedida pelo Juízo da 4ª Vara de Família, Órfãos e Sucessões de Macapá/AP (ID 25197467 — fls. 2/4), contendo todos os requisitos formais exigidos pelo art. 260 do Código de Processo Civil: indicação das partes, finalidade da diligência (citação da ré), prazo para cumprimento, endereço da parte a ser citada e a íntegra da decisão que a ordenou.</w:t>
      </w:r>
    </w:p>
    <w:p w:rsidR="003740E8" w:rsidRPr="003740E8" w:rsidRDefault="003740E8" w:rsidP="00BD2AA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Com a redistribuição a esta Vara Cível (ID 168347969), afastou-se o óbice de competência material anteriormente identificado. Portanto, </w:t>
      </w: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 carta precatória reúne condições de ser cumprida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>, não havendo qualquer irregularidade formal que impeça o prosseguimento da diligência.</w:t>
      </w:r>
    </w:p>
    <w:p w:rsidR="003740E8" w:rsidRPr="003740E8" w:rsidRDefault="003740E8" w:rsidP="003740E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Diligência a ser cumprida</w:t>
      </w:r>
    </w:p>
    <w:p w:rsidR="003740E8" w:rsidRPr="003740E8" w:rsidRDefault="003740E8" w:rsidP="00BD2AA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A diligência deprecada consiste na </w:t>
      </w: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citação pessoal de LUCIA HELENA DIAS LEITE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, brasileira, casada, aposentada, portadora do RG nº 2.663.202/PA e CPF nº 093.771.072-53, residente na </w:t>
      </w: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Rua J (</w:t>
      </w:r>
      <w:proofErr w:type="spellStart"/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Mendara</w:t>
      </w:r>
      <w:proofErr w:type="spellEnd"/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), nº 11, Residencial Euclides Figueiredo, Marambaia, Belém/PA, CEP 66615-690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3740E8" w:rsidRPr="003740E8" w:rsidRDefault="003740E8" w:rsidP="00BD2AA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A citação é ato essencial para garantir o </w:t>
      </w: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contraditório e a ampla defesa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 (art. 5º, LV, da Constituição Federal), assegurando à ré o direito de, querendo, apresentar contestação no prazo legal (art. 335 do CPC). O endereço fornecido 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lastRenderedPageBreak/>
        <w:t>está dentro da competência territorial deste Juízo, autorizando o cumprimento da diligência.</w:t>
      </w:r>
    </w:p>
    <w:p w:rsidR="003740E8" w:rsidRPr="003740E8" w:rsidRDefault="003740E8" w:rsidP="003740E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2.3. Providências do Oficial de Justiça</w:t>
      </w:r>
    </w:p>
    <w:p w:rsidR="003740E8" w:rsidRPr="003740E8" w:rsidRDefault="003740E8" w:rsidP="00BD2AA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Nos termos da própria carta precatória (ID 25197467, fl. 3), o Oficial de Justiça deverá, ao realizar a citação, </w:t>
      </w: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colher o endereço eletrônico (e-mail) e o número de telefone com aplicativo de mensagens (WhatsApp ou outro) que a parte possua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>, advertindo-a de que deverá manter tais contatos atualizados no processo para receber intimações dos demais atos processuais. Essa providência está em consonância com o art. 246, § 1º, do CPC, que prevê a utilização de meios eletrônicos para comunicação de atos processuais.</w:t>
      </w:r>
    </w:p>
    <w:p w:rsidR="003740E8" w:rsidRPr="003740E8" w:rsidRDefault="003740E8" w:rsidP="003740E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DISPOSITIVO</w:t>
      </w:r>
    </w:p>
    <w:p w:rsidR="003740E8" w:rsidRPr="003740E8" w:rsidRDefault="003740E8" w:rsidP="00BD2AA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</w:t>
      </w: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3740E8" w:rsidRPr="003740E8" w:rsidRDefault="003740E8" w:rsidP="00BD2AA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Cumpra-se</w:t>
      </w:r>
      <w:proofErr w:type="gramEnd"/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 a presente </w:t>
      </w: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Carta Precatória Cível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 nos termos requeridos, servindo o presente ato como </w:t>
      </w: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mandado de citação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 para o Oficial de Justiça, nos termos do art. 267, parágrafo único, do Código de Processo Civil.</w:t>
      </w:r>
    </w:p>
    <w:p w:rsidR="00BD2AA0" w:rsidRDefault="003740E8" w:rsidP="00BD2AA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b) Oficial de Justiça, ao realizar a citação de </w:t>
      </w: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LUCIA HELENA DIAS LEITE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 no endereço indicado (Rua J (</w:t>
      </w:r>
      <w:proofErr w:type="spellStart"/>
      <w:r w:rsidRPr="003740E8">
        <w:rPr>
          <w:rFonts w:ascii="Arial" w:eastAsia="Times New Roman" w:hAnsi="Arial" w:cs="Arial"/>
          <w:sz w:val="24"/>
          <w:szCs w:val="24"/>
          <w:lang w:eastAsia="pt-BR"/>
        </w:rPr>
        <w:t>Mendara</w:t>
      </w:r>
      <w:proofErr w:type="spellEnd"/>
      <w:r w:rsidRPr="003740E8">
        <w:rPr>
          <w:rFonts w:ascii="Arial" w:eastAsia="Times New Roman" w:hAnsi="Arial" w:cs="Arial"/>
          <w:sz w:val="24"/>
          <w:szCs w:val="24"/>
          <w:lang w:eastAsia="pt-BR"/>
        </w:rPr>
        <w:t>), nº 11, Residencial Euclides Figueiredo, Marambaia, Belém/PA, CEP 66615-690), deverá:</w:t>
      </w:r>
    </w:p>
    <w:p w:rsidR="00BD2AA0" w:rsidRDefault="003740E8" w:rsidP="00436A8C">
      <w:pPr>
        <w:pStyle w:val="PargrafodaLista"/>
        <w:numPr>
          <w:ilvl w:val="0"/>
          <w:numId w:val="1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D2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Colar</w:t>
      </w:r>
      <w:r w:rsidRPr="00BD2AA0">
        <w:rPr>
          <w:rFonts w:ascii="Arial" w:eastAsia="Times New Roman" w:hAnsi="Arial" w:cs="Arial"/>
          <w:sz w:val="24"/>
          <w:szCs w:val="24"/>
          <w:lang w:eastAsia="pt-BR"/>
        </w:rPr>
        <w:t xml:space="preserve"> o inteiro teor da petição inicial (cuja contrafé segue anexa à carta precatória);</w:t>
      </w:r>
    </w:p>
    <w:p w:rsidR="00BD2AA0" w:rsidRDefault="003740E8" w:rsidP="006856F3">
      <w:pPr>
        <w:pStyle w:val="PargrafodaLista"/>
        <w:numPr>
          <w:ilvl w:val="0"/>
          <w:numId w:val="1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D2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Cientificar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 a parte do prazo de </w:t>
      </w:r>
      <w:r w:rsidRPr="00BD2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 para contestação, contados da juntada do mandado cumprido aos autos, sob pena de revelia (art. 344 do CPC);</w:t>
      </w:r>
    </w:p>
    <w:p w:rsidR="00BD2AA0" w:rsidRDefault="003740E8" w:rsidP="00BA76F1">
      <w:pPr>
        <w:pStyle w:val="PargrafodaLista"/>
        <w:numPr>
          <w:ilvl w:val="0"/>
          <w:numId w:val="1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D2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Colher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 o endereço eletrônico (e-mail) e número de telefone com aplicativo de mensagens (WhatsApp ou outro) que a parte possua;</w:t>
      </w:r>
    </w:p>
    <w:p w:rsidR="003740E8" w:rsidRPr="003740E8" w:rsidRDefault="003740E8" w:rsidP="00BA76F1">
      <w:pPr>
        <w:pStyle w:val="PargrafodaLista"/>
        <w:numPr>
          <w:ilvl w:val="0"/>
          <w:numId w:val="1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D2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Advertir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 a parte de que deverá manter tais contatos atualizados no processo para receber intimações futuras.</w:t>
      </w:r>
    </w:p>
    <w:p w:rsidR="003740E8" w:rsidRPr="003740E8" w:rsidRDefault="003740E8" w:rsidP="00BD2AA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c) </w:t>
      </w: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Após</w:t>
      </w:r>
      <w:proofErr w:type="gramEnd"/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cumprida a diligência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>, devolva-se a presente carta precatória ao Juízo deprecante (4ª Vara de Família, Órfãos e Sucessões de Macapá/AP), com as informações e certidões de praxe.</w:t>
      </w:r>
    </w:p>
    <w:p w:rsidR="003740E8" w:rsidRPr="003740E8" w:rsidRDefault="003740E8" w:rsidP="00BD2AA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d) </w:t>
      </w:r>
      <w:r w:rsidRPr="003740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Intime-se</w:t>
      </w:r>
      <w:r w:rsidRPr="003740E8">
        <w:rPr>
          <w:rFonts w:ascii="Arial" w:eastAsia="Times New Roman" w:hAnsi="Arial" w:cs="Arial"/>
          <w:sz w:val="24"/>
          <w:szCs w:val="24"/>
          <w:lang w:eastAsia="pt-BR"/>
        </w:rPr>
        <w:t xml:space="preserve"> a Deprecante (Defensoria Pública do Estado do Amapá) acerca desta decisão, mediante publicação no Diário da Justiça Eletrônico.</w:t>
      </w:r>
    </w:p>
    <w:bookmarkEnd w:id="0"/>
    <w:p w:rsidR="00F2350D" w:rsidRPr="003740E8" w:rsidRDefault="00F2350D" w:rsidP="003740E8">
      <w:pPr>
        <w:jc w:val="both"/>
        <w:rPr>
          <w:rFonts w:ascii="Arial" w:hAnsi="Arial" w:cs="Arial"/>
          <w:sz w:val="24"/>
          <w:szCs w:val="24"/>
        </w:rPr>
      </w:pPr>
    </w:p>
    <w:sectPr w:rsidR="00F2350D" w:rsidRPr="003740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7B7398"/>
    <w:multiLevelType w:val="multilevel"/>
    <w:tmpl w:val="C27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B1D6DD1"/>
    <w:multiLevelType w:val="hybridMultilevel"/>
    <w:tmpl w:val="7AE63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0E8"/>
    <w:rsid w:val="003740E8"/>
    <w:rsid w:val="00BD2AA0"/>
    <w:rsid w:val="00F2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5ED23"/>
  <w15:chartTrackingRefBased/>
  <w15:docId w15:val="{C75C3C2D-9066-4A08-91AA-FB444BCBF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740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740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740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40E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740E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740E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74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740E8"/>
    <w:rPr>
      <w:b/>
      <w:bCs/>
    </w:rPr>
  </w:style>
  <w:style w:type="paragraph" w:styleId="PargrafodaLista">
    <w:name w:val="List Paragraph"/>
    <w:basedOn w:val="Normal"/>
    <w:uiPriority w:val="34"/>
    <w:qFormat/>
    <w:rsid w:val="00BD2A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1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665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2026-06-29T11:31:00Z</dcterms:created>
  <dcterms:modified xsi:type="dcterms:W3CDTF">2026-06-29T11:39:00Z</dcterms:modified>
</cp:coreProperties>
</file>