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A92" w:rsidRPr="000B4A92" w:rsidRDefault="000B4A92" w:rsidP="000B4A92">
      <w:pPr>
        <w:spacing w:before="120" w:after="120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bookmarkStart w:id="0" w:name="_GoBack"/>
      <w:r w:rsidRPr="000B4A92">
        <w:rPr>
          <w:rFonts w:ascii="Arial" w:eastAsia="Times New Roman" w:hAnsi="Arial" w:cs="Arial"/>
          <w:bCs/>
          <w:sz w:val="24"/>
          <w:szCs w:val="24"/>
          <w:lang w:eastAsia="pt-BR"/>
        </w:rPr>
        <w:t>PROCESSO Nº 0022384-72.2014.8.14.0301</w:t>
      </w:r>
    </w:p>
    <w:bookmarkEnd w:id="0"/>
    <w:p w:rsidR="000B4A92" w:rsidRDefault="000B4A92" w:rsidP="000B4A92">
      <w:pPr>
        <w:spacing w:before="120" w:after="12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</w:t>
      </w:r>
    </w:p>
    <w:p w:rsidR="000B4A92" w:rsidRPr="000B4A92" w:rsidRDefault="000B4A92" w:rsidP="000B4A92">
      <w:pPr>
        <w:spacing w:before="120" w:after="120" w:line="240" w:lineRule="auto"/>
        <w:jc w:val="both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B4A9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0B4A92" w:rsidRPr="000B4A92" w:rsidRDefault="000B4A92" w:rsidP="000B4A92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4A92">
        <w:rPr>
          <w:rFonts w:ascii="Arial" w:eastAsia="Times New Roman" w:hAnsi="Arial" w:cs="Arial"/>
          <w:sz w:val="24"/>
          <w:szCs w:val="24"/>
          <w:lang w:eastAsia="pt-BR"/>
        </w:rPr>
        <w:t xml:space="preserve">Trata-se de ação de </w:t>
      </w:r>
      <w:r w:rsidRPr="000B4A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inventário</w:t>
      </w:r>
      <w:r w:rsidRPr="000B4A92">
        <w:rPr>
          <w:rFonts w:ascii="Arial" w:eastAsia="Times New Roman" w:hAnsi="Arial" w:cs="Arial"/>
          <w:sz w:val="24"/>
          <w:szCs w:val="24"/>
          <w:lang w:eastAsia="pt-BR"/>
        </w:rPr>
        <w:t xml:space="preserve">, atualmente sob o rito de </w:t>
      </w:r>
      <w:r w:rsidRPr="000B4A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arrolamento comum</w:t>
      </w:r>
      <w:r w:rsidRPr="000B4A92">
        <w:rPr>
          <w:rFonts w:ascii="Arial" w:eastAsia="Times New Roman" w:hAnsi="Arial" w:cs="Arial"/>
          <w:sz w:val="24"/>
          <w:szCs w:val="24"/>
          <w:lang w:eastAsia="pt-BR"/>
        </w:rPr>
        <w:t xml:space="preserve">, dos bens deixados por </w:t>
      </w:r>
      <w:r w:rsidRPr="000B4A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PEDRO DOS SANTOS</w:t>
      </w:r>
      <w:r w:rsidRPr="000B4A92">
        <w:rPr>
          <w:rFonts w:ascii="Arial" w:eastAsia="Times New Roman" w:hAnsi="Arial" w:cs="Arial"/>
          <w:sz w:val="24"/>
          <w:szCs w:val="24"/>
          <w:lang w:eastAsia="pt-BR"/>
        </w:rPr>
        <w:t>, falecido em 31/08/2013 (</w:t>
      </w:r>
      <w:r w:rsidRPr="000B4A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54339561 - Pág. 4</w:t>
      </w:r>
      <w:r w:rsidRPr="000B4A92">
        <w:rPr>
          <w:rFonts w:ascii="Arial" w:eastAsia="Times New Roman" w:hAnsi="Arial" w:cs="Arial"/>
          <w:sz w:val="24"/>
          <w:szCs w:val="24"/>
          <w:lang w:eastAsia="pt-BR"/>
        </w:rPr>
        <w:t xml:space="preserve">). O feito tramita desde 2014, tendo ocorrido a remoção da inventariante originária por desídia e a nomeação da herdeira </w:t>
      </w:r>
      <w:r w:rsidRPr="000B4A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MARIA DAS GRAÇAS SANTOS DE OLIVEIRA</w:t>
      </w:r>
      <w:r w:rsidRPr="000B4A92">
        <w:rPr>
          <w:rFonts w:ascii="Arial" w:eastAsia="Times New Roman" w:hAnsi="Arial" w:cs="Arial"/>
          <w:sz w:val="24"/>
          <w:szCs w:val="24"/>
          <w:lang w:eastAsia="pt-BR"/>
        </w:rPr>
        <w:t xml:space="preserve"> em seu lugar (</w:t>
      </w:r>
      <w:r w:rsidRPr="000B4A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83459280</w:t>
      </w:r>
      <w:r w:rsidRPr="000B4A92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0B4A92" w:rsidRPr="000B4A92" w:rsidRDefault="000B4A92" w:rsidP="000B4A92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4A92">
        <w:rPr>
          <w:rFonts w:ascii="Arial" w:eastAsia="Times New Roman" w:hAnsi="Arial" w:cs="Arial"/>
          <w:sz w:val="24"/>
          <w:szCs w:val="24"/>
          <w:lang w:eastAsia="pt-BR"/>
        </w:rPr>
        <w:t xml:space="preserve">A decisão interlocutória de </w:t>
      </w:r>
      <w:r w:rsidRPr="000B4A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161244005</w:t>
      </w:r>
      <w:r w:rsidRPr="000B4A92">
        <w:rPr>
          <w:rFonts w:ascii="Arial" w:eastAsia="Times New Roman" w:hAnsi="Arial" w:cs="Arial"/>
          <w:sz w:val="24"/>
          <w:szCs w:val="24"/>
          <w:lang w:eastAsia="pt-BR"/>
        </w:rPr>
        <w:t xml:space="preserve">, proferida em novembro de 2025, estabeleceu diretrizes fundamentais para o desfecho do processo, incluindo: a </w:t>
      </w:r>
      <w:r w:rsidRPr="000B4A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prioridade na tramitação</w:t>
      </w:r>
      <w:r w:rsidRPr="000B4A92">
        <w:rPr>
          <w:rFonts w:ascii="Arial" w:eastAsia="Times New Roman" w:hAnsi="Arial" w:cs="Arial"/>
          <w:sz w:val="24"/>
          <w:szCs w:val="24"/>
          <w:lang w:eastAsia="pt-BR"/>
        </w:rPr>
        <w:t xml:space="preserve">, a </w:t>
      </w:r>
      <w:r w:rsidRPr="000B4A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remessa da discussão sobre união estável para as vias ordinárias</w:t>
      </w:r>
      <w:r w:rsidRPr="000B4A92">
        <w:rPr>
          <w:rFonts w:ascii="Arial" w:eastAsia="Times New Roman" w:hAnsi="Arial" w:cs="Arial"/>
          <w:sz w:val="24"/>
          <w:szCs w:val="24"/>
          <w:lang w:eastAsia="pt-BR"/>
        </w:rPr>
        <w:t xml:space="preserve"> (com reserva de 50% do quinhão), a determinação de </w:t>
      </w:r>
      <w:r w:rsidRPr="000B4A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prestação de contas</w:t>
      </w:r>
      <w:r w:rsidRPr="000B4A92">
        <w:rPr>
          <w:rFonts w:ascii="Arial" w:eastAsia="Times New Roman" w:hAnsi="Arial" w:cs="Arial"/>
          <w:sz w:val="24"/>
          <w:szCs w:val="24"/>
          <w:lang w:eastAsia="pt-BR"/>
        </w:rPr>
        <w:t xml:space="preserve"> pela </w:t>
      </w:r>
      <w:proofErr w:type="spellStart"/>
      <w:r w:rsidRPr="000B4A92">
        <w:rPr>
          <w:rFonts w:ascii="Arial" w:eastAsia="Times New Roman" w:hAnsi="Arial" w:cs="Arial"/>
          <w:sz w:val="24"/>
          <w:szCs w:val="24"/>
          <w:lang w:eastAsia="pt-BR"/>
        </w:rPr>
        <w:t>ex-inventariante</w:t>
      </w:r>
      <w:proofErr w:type="spellEnd"/>
      <w:r w:rsidRPr="000B4A92">
        <w:rPr>
          <w:rFonts w:ascii="Arial" w:eastAsia="Times New Roman" w:hAnsi="Arial" w:cs="Arial"/>
          <w:sz w:val="24"/>
          <w:szCs w:val="24"/>
          <w:lang w:eastAsia="pt-BR"/>
        </w:rPr>
        <w:t xml:space="preserve">, a ordem para esclarecimentos sobre </w:t>
      </w:r>
      <w:r w:rsidRPr="000B4A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bens supostamente omitidos</w:t>
      </w:r>
      <w:r w:rsidRPr="000B4A92">
        <w:rPr>
          <w:rFonts w:ascii="Arial" w:eastAsia="Times New Roman" w:hAnsi="Arial" w:cs="Arial"/>
          <w:sz w:val="24"/>
          <w:szCs w:val="24"/>
          <w:lang w:eastAsia="pt-BR"/>
        </w:rPr>
        <w:t xml:space="preserve"> e o deferimento de </w:t>
      </w:r>
      <w:r w:rsidRPr="000B4A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avaliação judicial</w:t>
      </w:r>
      <w:r w:rsidRPr="000B4A92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0B4A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alvará</w:t>
      </w:r>
      <w:r w:rsidRPr="000B4A92">
        <w:rPr>
          <w:rFonts w:ascii="Arial" w:eastAsia="Times New Roman" w:hAnsi="Arial" w:cs="Arial"/>
          <w:sz w:val="24"/>
          <w:szCs w:val="24"/>
          <w:lang w:eastAsia="pt-BR"/>
        </w:rPr>
        <w:t xml:space="preserve"> para venda de bem móvel.</w:t>
      </w:r>
    </w:p>
    <w:p w:rsidR="000B4A92" w:rsidRPr="000B4A92" w:rsidRDefault="000B4A92" w:rsidP="000B4A9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4A92">
        <w:rPr>
          <w:rFonts w:ascii="Arial" w:eastAsia="Times New Roman" w:hAnsi="Arial" w:cs="Arial"/>
          <w:sz w:val="24"/>
          <w:szCs w:val="24"/>
          <w:lang w:eastAsia="pt-BR"/>
        </w:rPr>
        <w:t>O processo retorna ao gabinete após nova certidão da secretaria informando pendências e a ausência de cumprimento das ordens expedidas na última decisão. O feito já ultrapassa 12 anos de tramitação sem solução efetiva.</w:t>
      </w:r>
    </w:p>
    <w:p w:rsidR="000B4A92" w:rsidRPr="000B4A92" w:rsidRDefault="000B4A92" w:rsidP="000B4A9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B4A9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 E DECISÃO</w:t>
      </w:r>
    </w:p>
    <w:p w:rsidR="000B4A92" w:rsidRPr="000B4A92" w:rsidRDefault="000B4A92" w:rsidP="000B4A9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4A92">
        <w:rPr>
          <w:rFonts w:ascii="Arial" w:eastAsia="Times New Roman" w:hAnsi="Arial" w:cs="Arial"/>
          <w:sz w:val="24"/>
          <w:szCs w:val="24"/>
          <w:lang w:eastAsia="pt-BR"/>
        </w:rPr>
        <w:t>Este processo caminha para seu 12º ano de tramitação. Essa demora fere o princípio da duração razoável do processo e exige que as partes demonstrem, de forma concreta, o interesse no encerramento da causa, abandonando a inércia que tem impedido a entrega da justiça.</w:t>
      </w:r>
    </w:p>
    <w:p w:rsidR="000B4A92" w:rsidRPr="000B4A92" w:rsidRDefault="000B4A92" w:rsidP="000B4A92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B4A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Do Interesse no Prosseguimento e Medidas Concretas</w:t>
      </w:r>
    </w:p>
    <w:p w:rsidR="000B4A92" w:rsidRPr="000B4A92" w:rsidRDefault="000B4A92" w:rsidP="000B4A9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4A92">
        <w:rPr>
          <w:rFonts w:ascii="Arial" w:eastAsia="Times New Roman" w:hAnsi="Arial" w:cs="Arial"/>
          <w:sz w:val="24"/>
          <w:szCs w:val="24"/>
          <w:lang w:eastAsia="pt-BR"/>
        </w:rPr>
        <w:t>Diante do descumprimento das determinações anteriores e da paralisação injustificada, as partes devem ser intimadas para manifestar o real interesse no prosseguimento do feito.</w:t>
      </w:r>
    </w:p>
    <w:p w:rsidR="000B4A92" w:rsidRPr="000B4A92" w:rsidRDefault="000B4A92" w:rsidP="000B4A92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4A92">
        <w:rPr>
          <w:rFonts w:ascii="Arial" w:eastAsia="Times New Roman" w:hAnsi="Arial" w:cs="Arial"/>
          <w:sz w:val="24"/>
          <w:szCs w:val="24"/>
          <w:lang w:eastAsia="pt-BR"/>
        </w:rPr>
        <w:t>As partes devem peticionar, no prazo de 15 (quinze) dias, indicando medidas objetivas e viáveis para o desfecho da lide. Não serão aceitas manifestações genéricas ou novos pedidos de adiamento.</w:t>
      </w:r>
    </w:p>
    <w:p w:rsidR="000B4A92" w:rsidRPr="000B4A92" w:rsidRDefault="000B4A92" w:rsidP="000B4A92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4A92">
        <w:rPr>
          <w:rFonts w:ascii="Arial" w:eastAsia="Times New Roman" w:hAnsi="Arial" w:cs="Arial"/>
          <w:sz w:val="24"/>
          <w:szCs w:val="24"/>
          <w:lang w:eastAsia="pt-BR"/>
        </w:rPr>
        <w:t>Fica a inventariante e demais herdeiros advertidos de que a manutenção da inércia quanto às obrigações já determinadas (como a avaliação de bens, esclarecimentos sobre imóveis omitidos e prestação de contas) será interpretada como falta de interesse processual, sujeitando o feito às sanções legais e à extinção sem resolução de mérito, conforme o caso.</w:t>
      </w:r>
    </w:p>
    <w:p w:rsidR="000B4A92" w:rsidRPr="000B4A92" w:rsidRDefault="000B4A92" w:rsidP="000B4A9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B4A9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DETERMINAÇÕES FINAIS PARA CELERIDADE</w:t>
      </w:r>
    </w:p>
    <w:p w:rsidR="000B4A92" w:rsidRPr="000B4A92" w:rsidRDefault="000B4A92" w:rsidP="000B4A92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4A92">
        <w:rPr>
          <w:rFonts w:ascii="Arial" w:eastAsia="Times New Roman" w:hAnsi="Arial" w:cs="Arial"/>
          <w:sz w:val="24"/>
          <w:szCs w:val="24"/>
          <w:lang w:eastAsia="pt-BR"/>
        </w:rPr>
        <w:t>a) Intimem-se as partes para que, em 15 (quinze) dias, comprovem o cumprimento das obrigações pendentes fixadas na decisão de ID 161244005 ou apresentem plano concreto para finalização da partilha.</w:t>
      </w:r>
      <w:r w:rsidRPr="000B4A92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b) O silêncio ou a apresentação de petições protelatórias ensejará a aplicação </w:t>
      </w:r>
      <w:r w:rsidRPr="000B4A9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de multa por litigância de má-fé (Art. 80, IV e V, CPC), bem como a extinção do processo sem resolução de mérito por falta de interesse processual, dada a excessiva dilação temporal deste inventário.</w:t>
      </w:r>
    </w:p>
    <w:p w:rsidR="000B4A92" w:rsidRPr="000B4A92" w:rsidRDefault="000B4A92" w:rsidP="000B4A9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B4A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INTIMEM-SE. CUMPRA-SE COM URGÊNCIA.</w:t>
      </w:r>
    </w:p>
    <w:p w:rsidR="007E1773" w:rsidRPr="000B4A92" w:rsidRDefault="007E1773" w:rsidP="000B4A92">
      <w:pPr>
        <w:jc w:val="both"/>
        <w:rPr>
          <w:rFonts w:ascii="Arial" w:hAnsi="Arial" w:cs="Arial"/>
          <w:sz w:val="24"/>
          <w:szCs w:val="24"/>
        </w:rPr>
      </w:pPr>
    </w:p>
    <w:sectPr w:rsidR="007E1773" w:rsidRPr="000B4A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A92"/>
    <w:rsid w:val="000B4A92"/>
    <w:rsid w:val="007E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C832F"/>
  <w15:chartTrackingRefBased/>
  <w15:docId w15:val="{D88D096E-C887-455E-B7D5-141215E91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B4A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B4A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4A9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B4A9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B4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B4A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1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2026-05-01T23:06:00Z</dcterms:created>
  <dcterms:modified xsi:type="dcterms:W3CDTF">2026-05-01T23:07:00Z</dcterms:modified>
</cp:coreProperties>
</file>