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C1B" w:rsidRPr="009E6C1B" w:rsidRDefault="009E6C1B" w:rsidP="009E6C1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9E6C1B">
        <w:rPr>
          <w:rFonts w:ascii="Arial" w:eastAsia="Times New Roman" w:hAnsi="Arial" w:cs="Arial"/>
          <w:bCs/>
          <w:sz w:val="24"/>
          <w:szCs w:val="24"/>
          <w:lang w:eastAsia="pt-BR"/>
        </w:rPr>
        <w:t>PROCESSO Nº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0009128-57.2017.8.14.0301</w:t>
      </w:r>
    </w:p>
    <w:bookmarkEnd w:id="0"/>
    <w:p w:rsidR="009E6C1B" w:rsidRDefault="009E6C1B" w:rsidP="009E6C1B">
      <w:pPr>
        <w:spacing w:before="120"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9E6C1B" w:rsidRPr="009E6C1B" w:rsidRDefault="009E6C1B" w:rsidP="009E6C1B">
      <w:pPr>
        <w:spacing w:before="120" w:after="120"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9E6C1B" w:rsidRPr="009E6C1B" w:rsidRDefault="009E6C1B" w:rsidP="009E6C1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>Trata-se de ação de indenização por danos materiais e morais em fase de processamento de recurso de apelação.</w:t>
      </w:r>
    </w:p>
    <w:p w:rsidR="009E6C1B" w:rsidRPr="009E6C1B" w:rsidRDefault="009E6C1B" w:rsidP="009E6C1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mérito (ID 146515671)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julgou parcialmente procedentes os pedidos iniciais, condenando a ré ao pagamento de danos materiais e rejeitando o pedido de danos morais, além de não conhecer da reconvenção por falta de preparo. Após a rejeição dos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de declaração (ID 162595927)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, a parte ré interpôs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 de apelação (ID 165901433)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, pleiteando a reforma da decisão e renovando o pedido de concessão dos benefícios da justiça gratuita, instruindo o recurso com cópia de sua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Carteira de Trabalho (ID 165905849)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E6C1B" w:rsidRPr="009E6C1B" w:rsidRDefault="009E6C1B" w:rsidP="009E6C1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Ato contínuo, a advogada Caroline Pinheiro Dias </w:t>
      </w:r>
      <w:proofErr w:type="spellStart"/>
      <w:r w:rsidRPr="009E6C1B">
        <w:rPr>
          <w:rFonts w:ascii="Arial" w:eastAsia="Times New Roman" w:hAnsi="Arial" w:cs="Arial"/>
          <w:sz w:val="24"/>
          <w:szCs w:val="24"/>
          <w:lang w:eastAsia="pt-BR"/>
        </w:rPr>
        <w:t>Hidaka</w:t>
      </w:r>
      <w:proofErr w:type="spellEnd"/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peticionou no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166411047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informando que não mais representa a parte autora, alegando ausência de contato e requerendo a intimação pessoal da requerente para constituir novo patrono.</w:t>
      </w:r>
    </w:p>
    <w:p w:rsidR="009E6C1B" w:rsidRPr="009E6C1B" w:rsidRDefault="009E6C1B" w:rsidP="009E6C1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Por fim, a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ID 172066520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confirmou o falecimento do advogado Arnaldo Lopes de Paula, titular do escritório que patrocinava a causa para a autora.</w:t>
      </w:r>
    </w:p>
    <w:p w:rsidR="009E6C1B" w:rsidRPr="009E6C1B" w:rsidRDefault="009E6C1B" w:rsidP="009E6C1B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>Vieram os autos conclusos.</w:t>
      </w:r>
    </w:p>
    <w:p w:rsidR="009E6C1B" w:rsidRPr="009E6C1B" w:rsidRDefault="009E6C1B" w:rsidP="009E6C1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9E6C1B" w:rsidRPr="009E6C1B" w:rsidRDefault="009E6C1B" w:rsidP="009E6C1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necessidade de regularização da representação processual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Compulsando os autos, verifica-se a ocorrência de fato superveniente que impacta diretamente a capacidade postulatória da parte autora. A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certidão de ID 172066520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atesta o falecimento do advogado Arnaldo Lopes de Paula. Somado a isso, a patrona Caroline Pinheiro Dias </w:t>
      </w:r>
      <w:proofErr w:type="spellStart"/>
      <w:r w:rsidRPr="009E6C1B">
        <w:rPr>
          <w:rFonts w:ascii="Arial" w:eastAsia="Times New Roman" w:hAnsi="Arial" w:cs="Arial"/>
          <w:sz w:val="24"/>
          <w:szCs w:val="24"/>
          <w:lang w:eastAsia="pt-BR"/>
        </w:rPr>
        <w:t>Hidaka</w:t>
      </w:r>
      <w:proofErr w:type="spellEnd"/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manifestou-se no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166411047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informando o encerramento de seu vínculo com o referido escritório e a impossibilidade de localizar a cliente.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Nos termos do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313, inciso I, do Código de Processo Civil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, a morte de qualquer das partes ou de seu representante legal é causa de suspensão do processo. Especificamente quanto ao falecimento do advogado, o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313, § 3º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>, determina que o juiz suspenda o processo e designe prazo razoável para que a parte constitua novo mandatário.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Ademais, o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76 do Código de Processo Civil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estabelece que, verificada a incapacidade processual ou a irregularidade da representação da parte, o juiz deve suspender o processo e designar prazo para que o vício seja sanado. No caso em tela, a intimação para apresentação de contrarrazões ao recurso de apelação, realizada anteriormente, restou prejudicada pela inexistência de patrono habilitado e com poderes vigentes para atuar em nome da autora.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Portanto, a regularização é medida que se impõe antes de qualquer análise sobre o prosseguimento do recurso ao segundo grau, sob pena de nulidade dos atos processuais subsequentes por cerceamento de defesa.</w:t>
      </w:r>
    </w:p>
    <w:p w:rsidR="009E6C1B" w:rsidRPr="009E6C1B" w:rsidRDefault="009E6C1B" w:rsidP="009E6C1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Do pedido de justiça gratuita em sede recursal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A apelante (ré) renovou o pedido de gratuidade da justiça no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165901433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, fundamentando-o em sua situação de desemprego e dificuldades financeiras agravadas pelo período pandêmico. Para comprovar suas alegações, juntou cópia da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Carteira de Trabalho e Previdência Social no ID 165905849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>, que corrobora a ausência de vínculo empregatício formal recente.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Embora o benefício tenha sido indeferido anteriormente em primeiro grau, o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99, § 7º, do Código de Processo Civil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permite que o requerimento seja formulado em sede de recurso. A documentação apresentada neste momento processual confere suporte à declaração de hipossuficiência.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>Dessa forma, considerando os elementos que demonstram a alteração ou a gravidade da situação financeira da recorrente, o deferimento da benesse é necessário para garantir o acesso ao duplo grau de jurisdição, sem prejuízo de reanálise posterior caso surjam provas de capacidade econômica.</w:t>
      </w:r>
    </w:p>
    <w:p w:rsidR="009E6C1B" w:rsidRPr="009E6C1B" w:rsidRDefault="009E6C1B" w:rsidP="009E6C1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DECISÃO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9E6C1B" w:rsidRPr="009E6C1B" w:rsidRDefault="009E6C1B" w:rsidP="009E6C1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os benefícios da justiça gratuita à parte ré/apelante (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NAIARA DE FATIMA E SOUZA DE OLIVEIRA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), exclusivamente para fins de processamento do recurso de apelação, dispensando-a do recolhimento do preparo, nos termos do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98 do CPC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9E6C1B" w:rsidRPr="009E6C1B" w:rsidRDefault="009E6C1B" w:rsidP="009E6C1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 a suspensão do processo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, com fundamento nos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artigos 76 e 313, § 3º, do CPC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>, em razão do falecimento do patrono da parte autora e da renúncia/desligamento da advogada associada;</w:t>
      </w:r>
    </w:p>
    <w:p w:rsidR="009E6C1B" w:rsidRPr="009E6C1B" w:rsidRDefault="009E6C1B" w:rsidP="009E6C1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 a intimação pessoal da parte autora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ROSANGELA DA CONCEICAO RIBEIRO CARMO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), por carta com aviso de recebimento (AR), para que, no prazo de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>, constitua novo advogado para representá-la nos autos, sob pena de preclusão do direito de apresentar contrarrazões e demais sanções legais;</w:t>
      </w:r>
    </w:p>
    <w:p w:rsidR="009E6C1B" w:rsidRPr="009E6C1B" w:rsidRDefault="009E6C1B" w:rsidP="009E6C1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E6C1B">
        <w:rPr>
          <w:rFonts w:ascii="Arial" w:eastAsia="Times New Roman" w:hAnsi="Arial" w:cs="Arial"/>
          <w:sz w:val="24"/>
          <w:szCs w:val="24"/>
          <w:lang w:eastAsia="pt-BR"/>
        </w:rPr>
        <w:t>d) Decorrido</w:t>
      </w:r>
      <w:proofErr w:type="gramEnd"/>
      <w:r w:rsidRPr="009E6C1B">
        <w:rPr>
          <w:rFonts w:ascii="Arial" w:eastAsia="Times New Roman" w:hAnsi="Arial" w:cs="Arial"/>
          <w:sz w:val="24"/>
          <w:szCs w:val="24"/>
          <w:lang w:eastAsia="pt-BR"/>
        </w:rPr>
        <w:t xml:space="preserve"> o prazo para a regularização da representação, com ou sem manifestação, certifique-se e façam-se os autos conclusos para novas determinações quanto ao prazo de contrarrazões ao recurso de apelação de </w:t>
      </w:r>
      <w:r w:rsidRPr="009E6C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165901433</w:t>
      </w:r>
      <w:r w:rsidRPr="009E6C1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E6C1B" w:rsidRPr="009E6C1B" w:rsidRDefault="009E6C1B" w:rsidP="009E6C1B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C1B">
        <w:rPr>
          <w:rFonts w:ascii="Arial" w:eastAsia="Times New Roman" w:hAnsi="Arial" w:cs="Arial"/>
          <w:sz w:val="24"/>
          <w:szCs w:val="24"/>
          <w:lang w:eastAsia="pt-BR"/>
        </w:rPr>
        <w:t>Cumpra-se com urgência.</w:t>
      </w:r>
    </w:p>
    <w:p w:rsidR="00244239" w:rsidRPr="009E6C1B" w:rsidRDefault="00244239" w:rsidP="009E6C1B">
      <w:pPr>
        <w:jc w:val="both"/>
        <w:rPr>
          <w:rFonts w:ascii="Arial" w:hAnsi="Arial" w:cs="Arial"/>
          <w:sz w:val="24"/>
          <w:szCs w:val="24"/>
        </w:rPr>
      </w:pPr>
    </w:p>
    <w:sectPr w:rsidR="00244239" w:rsidRPr="009E6C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C1B"/>
    <w:rsid w:val="00244239"/>
    <w:rsid w:val="009E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1A682"/>
  <w15:chartTrackingRefBased/>
  <w15:docId w15:val="{BE65AD92-83CA-4F10-B003-F2E4C21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E6C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E6C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6C1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E6C1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E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E6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8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721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2026-05-01T22:13:00Z</dcterms:created>
  <dcterms:modified xsi:type="dcterms:W3CDTF">2026-05-01T22:14:00Z</dcterms:modified>
</cp:coreProperties>
</file>