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2D4889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0839902-32.2020.8.14.0301</w:t>
      </w:r>
    </w:p>
    <w:bookmarkEnd w:id="0"/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  <w:r w:rsidRPr="002D4889">
        <w:rPr>
          <w:rFonts w:ascii="Arial" w:eastAsia="Times New Roman" w:hAnsi="Arial" w:cs="Arial"/>
          <w:b/>
          <w:sz w:val="24"/>
          <w:szCs w:val="24"/>
          <w:lang w:eastAsia="pt-BR"/>
        </w:rPr>
        <w:br/>
      </w:r>
    </w:p>
    <w:p w:rsidR="002D4889" w:rsidRPr="002D4889" w:rsidRDefault="002D4889" w:rsidP="002D48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 E ESTADO DO PROCESSO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Analiso o andamento processual após a prolação da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mérito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(ID 154631684), que julgou improcedentes os pedidos da petição inicial e procedentes os pedidos formulados em sede de reconvenção.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A parte autora, assistida pela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Defensoria Pública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, interpôs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 de Apelação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(ID 155926028) tempestivamente, buscando a anulação da sentença por cerceamento de defesa ou, subsidiariamente, a reforma total da decisão.</w:t>
      </w:r>
    </w:p>
    <w:p w:rsidR="002D4889" w:rsidRPr="002D4889" w:rsidRDefault="002D4889" w:rsidP="002D4889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verifico a existência de diversas petições de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renúncia de mandato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pendentes de análise e a necessidade de regularização da representação processual antes da remessa dos autos ao Tribunal de Justiça, para evitar futuras nulidades.</w:t>
      </w:r>
    </w:p>
    <w:p w:rsidR="002D4889" w:rsidRPr="002D4889" w:rsidRDefault="002D4889" w:rsidP="002D48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DAS RENÚNCIAS DE MANDATO E REGULARIZAÇÃO DA REPRESENTAÇÃO</w:t>
      </w:r>
    </w:p>
    <w:p w:rsidR="002D4889" w:rsidRPr="002D4889" w:rsidRDefault="002D4889" w:rsidP="002D48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representação da parte Autora (Apelante)</w:t>
      </w:r>
    </w:p>
    <w:p w:rsidR="002D4889" w:rsidRPr="002D4889" w:rsidRDefault="002D4889" w:rsidP="002D4889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A advogada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Amanda Rebelo Barreto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protocolou termo de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renúncia ao mandato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no ID 155347340, comprovando a notificação da parte conforme exige o artigo 112 do Código de Processo Civil. 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Entretanto, observo que 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CONSTRUTORA J. A. TAVARES LTDA.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já se encontra devidamente representada nos autos pela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Defensoria Pública do Estado do Pará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, conforme habilitação no ID 49069462 e a interposição do recurso de apelação assinada pelo Defensor Público (ID 155926027). Assim, a assistência jurídica da apelante está assegurada, restando apenas o </w:t>
      </w:r>
      <w:proofErr w:type="spell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descadastramento</w:t>
      </w:r>
      <w:proofErr w:type="spell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da advogada renunciante.</w:t>
      </w:r>
    </w:p>
    <w:p w:rsidR="002D4889" w:rsidRPr="002D4889" w:rsidRDefault="002D4889" w:rsidP="002D48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representação da parte Ré (Apelada)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Quanto à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OIKOS CONSTRUÇÕES LTDA.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, os advogados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Alceu Rodrigues Chaves, Luciano </w:t>
      </w:r>
      <w:proofErr w:type="spellStart"/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Hinz</w:t>
      </w:r>
      <w:proofErr w:type="spellEnd"/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Maran</w:t>
      </w:r>
      <w:proofErr w:type="spell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e outros apresentaram renúncia ao mandato nos </w:t>
      </w:r>
      <w:proofErr w:type="spell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136876496, 155787449 e 158824578. Os profissionais comprovaram a notificação extrajudicial da empresa (ID 136876498 e ID 136876499) e respeitaram o prazo legal de 10 dias de permanência nos autos para evitar prejuízos.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Neste cenário, a parte ré (Apelada) encontra-se atualmente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advogado habilitado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>, o que impede o regular exercício do contraditório na fase recursal, especialmente quanto ao oferecimento de contrarrazões ao recurso de apelação (ato ordinatório de ID 157299411).</w:t>
      </w:r>
    </w:p>
    <w:p w:rsidR="002D4889" w:rsidRPr="002D4889" w:rsidRDefault="002D4889" w:rsidP="002D48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FUNDAMENTAÇÃO JURÍDICA</w:t>
      </w:r>
    </w:p>
    <w:p w:rsidR="002D4889" w:rsidRPr="002D4889" w:rsidRDefault="002D4889" w:rsidP="002D4889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artigo 112 do Código de Processo Civil permite ao advogado renunciar ao mandato a qualquer tempo, desde que comprove a comunicação ao cliente. Transcorrido o prazo de 10 dias após a notificação, o advogado não mais responde pela parte.</w:t>
      </w:r>
    </w:p>
    <w:p w:rsidR="002D4889" w:rsidRPr="002D4889" w:rsidRDefault="002D4889" w:rsidP="002D4889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Com a renúncia dos patronos da Ré, é dever do magistrado determinar 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regularização da representação processual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artigo 76 do Código de Processo Civil. Caso </w:t>
      </w:r>
      <w:proofErr w:type="spell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spell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parte, devidamente intimada, não constitua novo advogado, o processo deve seguir seu curso, incidindo os efeitos da revelia na fase em que se encontra ou, no caso do apelado, a preclusão do direito de resposta ao recurso.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Considerando que a intimação para contrarrazões (ID 157299411) ocorreu em momento em que os advogados já haviam manifestado a renúncia e a parte já havia sido notificada por eles, é prudente garantir que 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OIKOS CONSTRUÇÕES LTDA.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seja intimada pessoalmente para constituir novo patrono e, querendo, responder ao recurso.</w:t>
      </w:r>
    </w:p>
    <w:p w:rsidR="002D4889" w:rsidRPr="002D4889" w:rsidRDefault="002D4889" w:rsidP="002D48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4. DECISÃO E PROVIDÊNCIAS</w:t>
      </w:r>
    </w:p>
    <w:p w:rsidR="002D4889" w:rsidRPr="002D4889" w:rsidRDefault="002D4889" w:rsidP="002D4889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>Diante do exposto: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</w:t>
      </w:r>
      <w:proofErr w:type="gramEnd"/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as renúncias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apresentadas pelos advogados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Amanda Rebelo Barreto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(pela autora) e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Alceu Rodrigues Chaves e outros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(pela ré). Determino à Secretaria que proceda ao imediato </w:t>
      </w:r>
      <w:proofErr w:type="spellStart"/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descadastramento</w:t>
      </w:r>
      <w:proofErr w:type="spell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desses profissionais no sistema </w:t>
      </w:r>
      <w:proofErr w:type="spell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b) Verificada</w:t>
      </w:r>
      <w:proofErr w:type="gram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a regular representação da Autora/Apelante pela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Defensoria Pública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>, nada há a prover quanto à sua capacidade postulatória;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proofErr w:type="gramEnd"/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intimação pessoal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da requerida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OIKOS CONSTRUÇÕES LTDA.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, por via postal com aviso de recebimento (AR), no endereço constante em seu contrato social (Rua José de Alencar, 1155, </w:t>
      </w:r>
      <w:proofErr w:type="spell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Juvevê</w:t>
      </w:r>
      <w:proofErr w:type="spell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, Curitiba/PR), para que, no prazo de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2D4889" w:rsidRPr="002D4889" w:rsidRDefault="002D4889" w:rsidP="002D4889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>Constitua novo advogado para representá-la nos autos, sob pena de o processo seguir sem sua nova intimação (art. 76, § 1º, II, CPC);</w:t>
      </w:r>
    </w:p>
    <w:p w:rsidR="002D4889" w:rsidRPr="002D4889" w:rsidRDefault="002D4889" w:rsidP="002D4889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Apresente, querendo, as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contrarrazões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ao recurso de apelação de ID 155926028, conforme faculta o art. 1.010, § 1º, do CPC.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d) Decorrido</w:t>
      </w:r>
      <w:proofErr w:type="gram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o prazo, com ou sem manifestação, e certificada a regularidade,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remetam-se os autos ao Egrégio Tribunal de Justiça do Estado do Pará (TJPA)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para o julgamento do recurso, com as nossas homenagens;</w:t>
      </w:r>
    </w:p>
    <w:p w:rsidR="002D4889" w:rsidRPr="002D4889" w:rsidRDefault="002D4889" w:rsidP="002D4889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D4889">
        <w:rPr>
          <w:rFonts w:ascii="Arial" w:eastAsia="Times New Roman" w:hAnsi="Arial" w:cs="Arial"/>
          <w:sz w:val="24"/>
          <w:szCs w:val="24"/>
          <w:lang w:eastAsia="pt-BR"/>
        </w:rPr>
        <w:t>e) Observe-se</w:t>
      </w:r>
      <w:proofErr w:type="gramEnd"/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2D48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prioridade na tramitação</w:t>
      </w:r>
      <w:r w:rsidRPr="002D4889">
        <w:rPr>
          <w:rFonts w:ascii="Arial" w:eastAsia="Times New Roman" w:hAnsi="Arial" w:cs="Arial"/>
          <w:sz w:val="24"/>
          <w:szCs w:val="24"/>
          <w:lang w:eastAsia="pt-BR"/>
        </w:rPr>
        <w:t xml:space="preserve"> já deferida, em razão da idade e estado de saúde do representante da autora.</w:t>
      </w:r>
    </w:p>
    <w:p w:rsidR="002D4889" w:rsidRPr="002D4889" w:rsidRDefault="002D4889" w:rsidP="002D4889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4889">
        <w:rPr>
          <w:rFonts w:ascii="Arial" w:eastAsia="Times New Roman" w:hAnsi="Arial" w:cs="Arial"/>
          <w:sz w:val="24"/>
          <w:szCs w:val="24"/>
          <w:lang w:eastAsia="pt-BR"/>
        </w:rPr>
        <w:t>Cumpra-se com urgência.</w:t>
      </w:r>
    </w:p>
    <w:p w:rsidR="00994705" w:rsidRPr="002D4889" w:rsidRDefault="00994705" w:rsidP="002D4889">
      <w:pPr>
        <w:jc w:val="both"/>
        <w:rPr>
          <w:rFonts w:ascii="Arial" w:hAnsi="Arial" w:cs="Arial"/>
          <w:sz w:val="24"/>
          <w:szCs w:val="24"/>
        </w:rPr>
      </w:pPr>
    </w:p>
    <w:sectPr w:rsidR="00994705" w:rsidRPr="002D4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1D4114"/>
    <w:multiLevelType w:val="multilevel"/>
    <w:tmpl w:val="AFF0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889"/>
    <w:rsid w:val="002D4889"/>
    <w:rsid w:val="0099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B40FB"/>
  <w15:chartTrackingRefBased/>
  <w15:docId w15:val="{2E2C12F3-BADF-4FA1-80A7-01CCA7E6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D48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D48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488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D488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D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D4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8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680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2026-05-02T00:24:00Z</dcterms:created>
  <dcterms:modified xsi:type="dcterms:W3CDTF">2026-05-02T00:27:00Z</dcterms:modified>
</cp:coreProperties>
</file>