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275680">
        <w:rPr>
          <w:rFonts w:ascii="Arial" w:eastAsia="Times New Roman" w:hAnsi="Arial" w:cs="Arial"/>
          <w:bCs/>
          <w:sz w:val="24"/>
          <w:szCs w:val="24"/>
          <w:lang w:eastAsia="pt-BR"/>
        </w:rPr>
        <w:t>0828149-05.2025.8.14.0301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275680" w:rsidRPr="00275680" w:rsidRDefault="00275680" w:rsidP="00C661D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iniciado por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RODRIGO MENDES RAMOS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CREDITO, FINANCIAMENTO E INVESTIMENTO S.A.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objetivando a satisfação do crédito reconhecido na sentença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162032540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A referida decisão judicial, transitada em julgado em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26/01/2026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166357621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), reconheceu a purgação integral da mora pelo réu e a ilicitude da venda extrajudicial do veículo realizada pela instituição financeira. Por esse motivo, o banco foi condenado ao pagamento de indenização por perdas e danos no valor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R$ 38.000,00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multa legal de 50% sobre o valor financiado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R$ 7.868,66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), além de honorários advocatícios de 15% sobre a condenação.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>Após o início da fase executiva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166267120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), este juízo proferiu despacho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170217823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 intimando o executado para realizar o pagamento voluntário do débito no prazo de 15 dias, sob pena de incidência da multa e de honorários previstos no artigo 523, § 1º, do Código de Processo Civil.</w:t>
      </w:r>
    </w:p>
    <w:p w:rsidR="00275680" w:rsidRPr="00275680" w:rsidRDefault="00275680" w:rsidP="00C661D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170383941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comprova que o executado tomou ciência da intimação via Domicílio Judicial Eletrônico em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06/03/2026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. Contudo, conforme noticiado pelo exequente na petição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172779984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o prazo transcorreu sem que houvesse o adimplemento voluntário da obrigação.</w:t>
      </w:r>
    </w:p>
    <w:p w:rsidR="00275680" w:rsidRPr="00275680" w:rsidRDefault="00275680" w:rsidP="00C661DC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Diante da inércia, o exequente pugnou pelo bloqueio de valores via sistema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com a aplicação das penalidades legais, totalizando o montante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R$ 62.695,90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Inadimplemento e das Sanções Processuais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Compulsando os autos, verifico que a intimação para pagamento voluntário foi realizada de forma regular, operando-se a ciência eletrônica do banco executado em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06/03/2026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170383941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). Entretanto, não há qualquer registro de depósito ou manifestação da instituição financeira confirmando o pagamento do débito.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Com efeito, o transcurso do prazo de 15 dias úteis sem o pagamento voluntário atrai a incidência automática da multa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e de honorários advocatícios, também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sobre o valor do débito, conforme determina o artigo 523, § 1º, do Código de Processo Civil.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>Ademais, o exequente apresentou demonstrativo de cálculo atualizado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166267120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172779984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), que se mostra em consonância com os parâmetros fixados na sentença de mérito. Assim, o prosseguimento da execução mediante a expropriação de ativos financeiros é medida que se impõe para garantir a efetividade da jurisdição.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 Da Liberação de Valores em Favor do Banco Executado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A sentença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162032540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em seu item 3.3, determinou a expedição de alvará em favor da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CREDITO, FINANCIAMENTO E INVESTIMENTO S.A.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para o levantamento da quantia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R$ 9.711,09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depositada judicialmente pelo réu a título de purgação da mora (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146594337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275680" w:rsidRPr="00275680" w:rsidRDefault="00275680" w:rsidP="0027568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>Considerando que tal ponto da decisão também transitou em julgado e que o valor já se encontra à disposição do juízo em subconta vinculada, não há óbice para que seja autorizada a transferência deste montante específico para a instituição financeira, servindo como quitação definitiva do contrato de financiamento original, conforme já decidido.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Obrigação de Fazer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Ressalte-se que a sentença também impôs à instituição financeira a obrigação de promover a baixa de gravames e a regularização administrativa do veículo junto ao DETRAN (item 3.7 da sentença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162032540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). O descumprimento desta ordem, além das </w:t>
      </w:r>
      <w:proofErr w:type="gramStart"/>
      <w:r w:rsidRPr="00275680">
        <w:rPr>
          <w:rFonts w:ascii="Arial" w:eastAsia="Times New Roman" w:hAnsi="Arial" w:cs="Arial"/>
          <w:sz w:val="24"/>
          <w:szCs w:val="24"/>
          <w:lang w:eastAsia="pt-BR"/>
        </w:rPr>
        <w:t>perdas e danos já fixadas</w:t>
      </w:r>
      <w:proofErr w:type="gramEnd"/>
      <w:r w:rsidRPr="00275680">
        <w:rPr>
          <w:rFonts w:ascii="Arial" w:eastAsia="Times New Roman" w:hAnsi="Arial" w:cs="Arial"/>
          <w:sz w:val="24"/>
          <w:szCs w:val="24"/>
          <w:lang w:eastAsia="pt-BR"/>
        </w:rPr>
        <w:t>, poderá ensejar a aplicação de medidas coercitivas adicionais, caso não comprovada a regularização no prazo estipulado.</w:t>
      </w:r>
    </w:p>
    <w:p w:rsidR="00275680" w:rsidRPr="00275680" w:rsidRDefault="00275680" w:rsidP="0027568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275680" w:rsidRPr="00275680" w:rsidRDefault="00275680" w:rsidP="0027568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>Ante o exposto, no exercício da competência jurisdicional: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DECLARO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a incidência da multa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e dos honorários advocatícios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sobre o valor da execução, nos termos do artigo 523, § 1º, do Código de Processo Civil, em razão da ausência de pagamento voluntário pelo executado;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o pedido de penhora online formulado no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172779984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. Proceda-se à ordem de bloqueio de ativos financeiros via sistema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em nome da executada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CREDITO, FINANCIAMENTO E INVESTIMENTO S.A. (CNPJ: 07.707.650/0001-10)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até o limite do valor atualizado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R$ 62.695,90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à Secretaria que proceda à expedição de alvará judicial ou transferência eletrônica em favor da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CREDITO, FINANCIAMENTO E INVESTIMENTO S.A.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referente ao depósito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146594337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(valor de R$ 9.711,09 e seus acréscimos legais), conforme determinado no item 3.3 da sentença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162032540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que o executado comprove, no prazo de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 (cinco) dias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, o cumprimento da obrigação de fazer consistente na baixa do gravame de alienação fiduciária do veículo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FIAT/IDEA ATTRACTIVE 1.4, Placa OTX8455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sob pena de aplicação de multa cominatória diária a ser oportunamente arbitrada por este juízo;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75680">
        <w:rPr>
          <w:rFonts w:ascii="Arial" w:eastAsia="Times New Roman" w:hAnsi="Arial" w:cs="Arial"/>
          <w:sz w:val="24"/>
          <w:szCs w:val="24"/>
          <w:lang w:eastAsia="pt-BR"/>
        </w:rPr>
        <w:t>e) Caso</w:t>
      </w:r>
      <w:proofErr w:type="gramEnd"/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o bloqueio via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seja positivo, intime-se o executado, na pessoa de seu advogado, acerca da penhora, para que, querendo, apresente impugnação no prazo de 15 (quinze) dias, nos termos do art. 525, § 11, do CPC;</w:t>
      </w:r>
    </w:p>
    <w:p w:rsidR="00275680" w:rsidRPr="00275680" w:rsidRDefault="00275680" w:rsidP="00275680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7568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f) Se</w:t>
      </w:r>
      <w:proofErr w:type="gramEnd"/>
      <w:r w:rsidRPr="00275680">
        <w:rPr>
          <w:rFonts w:ascii="Arial" w:eastAsia="Times New Roman" w:hAnsi="Arial" w:cs="Arial"/>
          <w:sz w:val="24"/>
          <w:szCs w:val="24"/>
          <w:lang w:eastAsia="pt-BR"/>
        </w:rPr>
        <w:t xml:space="preserve"> a tentativa de bloqueio for infrutífera ou irrisória, proceda-se imediatamente à consulta e restrição de veículos via sistema </w:t>
      </w:r>
      <w:r w:rsidRPr="002756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RENAJUD</w:t>
      </w:r>
      <w:r w:rsidRPr="00275680">
        <w:rPr>
          <w:rFonts w:ascii="Arial" w:eastAsia="Times New Roman" w:hAnsi="Arial" w:cs="Arial"/>
          <w:sz w:val="24"/>
          <w:szCs w:val="24"/>
          <w:lang w:eastAsia="pt-BR"/>
        </w:rPr>
        <w:t>, observando-se a ordem de preferência legal.</w:t>
      </w:r>
    </w:p>
    <w:p w:rsidR="00275680" w:rsidRPr="00275680" w:rsidRDefault="00275680" w:rsidP="00275680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75680">
        <w:rPr>
          <w:rFonts w:ascii="Arial" w:eastAsia="Times New Roman" w:hAnsi="Arial" w:cs="Arial"/>
          <w:sz w:val="24"/>
          <w:szCs w:val="24"/>
          <w:lang w:eastAsia="pt-BR"/>
        </w:rPr>
        <w:t>Cumpra-se com urgência.</w:t>
      </w:r>
    </w:p>
    <w:p w:rsidR="00B01AFC" w:rsidRPr="00275680" w:rsidRDefault="00B01AFC" w:rsidP="00275680">
      <w:pPr>
        <w:jc w:val="both"/>
        <w:rPr>
          <w:rFonts w:ascii="Arial" w:hAnsi="Arial" w:cs="Arial"/>
          <w:sz w:val="24"/>
          <w:szCs w:val="24"/>
        </w:rPr>
      </w:pPr>
    </w:p>
    <w:sectPr w:rsidR="00B01AFC" w:rsidRPr="00275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80"/>
    <w:rsid w:val="00275680"/>
    <w:rsid w:val="00B01AFC"/>
    <w:rsid w:val="00C6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981C0"/>
  <w15:chartTrackingRefBased/>
  <w15:docId w15:val="{7588AFA0-A6A2-4231-ADAA-BC46E36F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75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75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68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7568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5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75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812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2026-05-01T21:13:00Z</dcterms:created>
  <dcterms:modified xsi:type="dcterms:W3CDTF">2026-05-01T21:14:00Z</dcterms:modified>
</cp:coreProperties>
</file>