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56D" w:rsidRPr="000B256D" w:rsidRDefault="000B256D" w:rsidP="000B256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 0817610-14.2024.8.14.0301</w:t>
      </w:r>
    </w:p>
    <w:p w:rsidR="000B256D" w:rsidRDefault="000B256D" w:rsidP="000B256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0B256D" w:rsidRPr="000B256D" w:rsidRDefault="000B256D" w:rsidP="000B256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0B256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0B256D" w:rsidRPr="000B256D" w:rsidRDefault="000B256D" w:rsidP="000B256D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PALOMA FERREIRA GEMAQUE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, qualificada na inicial, ajuizou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Declaratória de Prescrição de Débito c/</w:t>
      </w:r>
      <w:proofErr w:type="gramStart"/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</w:t>
      </w:r>
      <w:proofErr w:type="gramEnd"/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Obrigação de Fazer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contra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ATIVOS S.A. SECURITIZADORA DE CRÉDITOS FINANCEIROS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>, também qualificada.</w:t>
      </w:r>
    </w:p>
    <w:p w:rsidR="000B256D" w:rsidRPr="000B256D" w:rsidRDefault="000B256D" w:rsidP="000B256D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A autora narra que, em janeiro de 2024, recebeu ligação telefônica de cobrança informando sobre débito inscrito em seu CPF. Ao acessar a plataforma do SERASA, constatou o apontamento de dívida no valor de R$ 1.737,44, referente a contrato de cartão de crédito Bradesco Visa, vencida em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01/06/2016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(ID 109667825). Alega que o débito está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prescrito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desde junho de 2021, nos termos do art. 206, §5º, I, do Código Civil, e que a manutenção do registro na plataforma "Serasa Limpa Nome" constitui meio coercitivo de cobrança, induzindo o consumidor a pagar dívida inexigível. Requer a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declaração de prescrição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, a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retirada da dívida da plataforma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e a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abstenção de cobranças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. Pediu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justiça gratuita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(ID 109667823) e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inversão do ônus da prova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B256D" w:rsidRPr="000B256D" w:rsidRDefault="000B256D" w:rsidP="00FC7A2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A petição inicial foi distribuída em 27/02/2024 ao Juízo da 7ª Vara de Família, que declinou da competência (ID 109669980). Redistribuída à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11ª Vara Cível e Empresarial de Belém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B256D" w:rsidRPr="000B256D" w:rsidRDefault="000B256D" w:rsidP="00FC7A2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ré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protocolou petição em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19/11/2025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(ID 161563339), requerendo a suspensão do processo em razão da afetação do Tema 1264/STJ. Juntou o contrato de cessão (ID 161563343), o acórdão do IUJ/TJAM (ID 161563344), o acórdão do </w:t>
      </w:r>
      <w:proofErr w:type="spellStart"/>
      <w:r w:rsidRPr="000B256D">
        <w:rPr>
          <w:rFonts w:ascii="Arial" w:eastAsia="Times New Roman" w:hAnsi="Arial" w:cs="Arial"/>
          <w:sz w:val="24"/>
          <w:szCs w:val="24"/>
          <w:lang w:eastAsia="pt-BR"/>
        </w:rPr>
        <w:t>REsp</w:t>
      </w:r>
      <w:proofErr w:type="spellEnd"/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2.103.726/SP (ID 161563346) e outros documentos.</w:t>
      </w:r>
    </w:p>
    <w:p w:rsidR="000B256D" w:rsidRPr="000B256D" w:rsidRDefault="000B256D" w:rsidP="00FC7A2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É o relatório. Passo a fundamentar e decidir.</w:t>
      </w:r>
    </w:p>
    <w:p w:rsidR="000B256D" w:rsidRPr="000B256D" w:rsidRDefault="000B256D" w:rsidP="000B256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0B256D" w:rsidRPr="000B256D" w:rsidRDefault="000B256D" w:rsidP="000B256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suspensão do processo pelo Tema 1264/STJ</w:t>
      </w:r>
    </w:p>
    <w:p w:rsidR="000B256D" w:rsidRPr="000B256D" w:rsidRDefault="000B256D" w:rsidP="00FC7A2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A ré requereu a suspensão do processo, com fundamento na afetação do </w:t>
      </w:r>
      <w:proofErr w:type="spellStart"/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</w:t>
      </w:r>
      <w:proofErr w:type="spellEnd"/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2.092.190/SP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(Tema 1264/STJ) ao rito dos recursos repetitivos, que visa definir "se a dívida prescrita pode ser exigida extrajudicialmente, inclusive com a inscrição do nome do devedor em plataformas de acordo ou de renegociação de débitos" (ID 161563372).</w:t>
      </w:r>
    </w:p>
    <w:p w:rsidR="000B256D" w:rsidRPr="000B256D" w:rsidRDefault="00FC7A21" w:rsidP="00FC7A2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</w:t>
      </w:r>
      <w:r w:rsidR="000B256D"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o caso, o STJ determinou a suspensão </w:t>
      </w:r>
      <w:r w:rsidR="000B256D"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dos processos que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versem sobre a mesma matéria. </w:t>
      </w:r>
      <w:r w:rsidRPr="00FC7A21">
        <w:rPr>
          <w:rFonts w:ascii="Arial" w:eastAsia="Times New Roman" w:hAnsi="Arial" w:cs="Arial"/>
          <w:bCs/>
          <w:sz w:val="24"/>
          <w:szCs w:val="24"/>
          <w:lang w:eastAsia="pt-BR"/>
        </w:rPr>
        <w:t>No</w:t>
      </w:r>
      <w:r w:rsidR="000B256D"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presente processo a questão central dos autos — a possibilidade de cobrança extrajudicial de dívida prescrita e a manutenção do nome do devedor em plataformas como Serasa Limpa Nome — é exatamente a mesma que será decidida no Tema 1264/STJ.</w:t>
      </w:r>
    </w:p>
    <w:p w:rsidR="000B256D" w:rsidRPr="000B256D" w:rsidRDefault="000B256D" w:rsidP="00FC7A2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A decisão final do STJ terá caráter vinculante e poderá influenciar diretamente o deslinde do presente feito, seja para confirmar ou para modificar o entendimento aqui adotado. Diante disso, e considerando que a ré demonstrou inequívoco 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lastRenderedPageBreak/>
        <w:t>interesse na suspensão, entendo ser adequado aguardar o julgamento do recurso repetitivo para evitar decisões conflitantes e assegurar a segurança jurídica. A economia processual também recomenda a suspensão, pois o julgamento do Tema 1264 fornecerá diretrizes claras para a solução da lide.</w:t>
      </w:r>
    </w:p>
    <w:p w:rsidR="000B256D" w:rsidRPr="000B256D" w:rsidRDefault="000B256D" w:rsidP="00FC7A2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Assim,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acolho o pedido de suspensão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e determino a suspensão do processo até o julgamento do Tema 1264/STJ, nos termos do art. 313, II, do CPC, por ser a matéria objeto de recurso repetitivo que poderá afetar a solução da controvérsia.</w:t>
      </w:r>
    </w:p>
    <w:p w:rsidR="000B256D" w:rsidRPr="000B256D" w:rsidRDefault="000B256D" w:rsidP="000B256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0B256D" w:rsidRPr="000B256D" w:rsidRDefault="000B256D" w:rsidP="00FC7A2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acolho o pedido de suspensão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formulado pela ré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ATIVOS S.A. SECURITIZADORA DE CRÉDITOS FINANCEIROS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>, com fundamento no art. 1.037, II, do Código de Processo Civil c/</w:t>
      </w:r>
      <w:proofErr w:type="gramStart"/>
      <w:r w:rsidRPr="000B256D">
        <w:rPr>
          <w:rFonts w:ascii="Arial" w:eastAsia="Times New Roman" w:hAnsi="Arial" w:cs="Arial"/>
          <w:sz w:val="24"/>
          <w:szCs w:val="24"/>
          <w:lang w:eastAsia="pt-BR"/>
        </w:rPr>
        <w:t>c</w:t>
      </w:r>
      <w:proofErr w:type="gramEnd"/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art. 313, II, do CPC, e determino a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suspensão do presente processo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até o julgamento do </w:t>
      </w: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Tema 1264/STJ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0B256D">
        <w:rPr>
          <w:rFonts w:ascii="Arial" w:eastAsia="Times New Roman" w:hAnsi="Arial" w:cs="Arial"/>
          <w:sz w:val="24"/>
          <w:szCs w:val="24"/>
          <w:lang w:eastAsia="pt-BR"/>
        </w:rPr>
        <w:t>REsp</w:t>
      </w:r>
      <w:proofErr w:type="spellEnd"/>
      <w:r w:rsidRPr="000B256D">
        <w:rPr>
          <w:rFonts w:ascii="Arial" w:eastAsia="Times New Roman" w:hAnsi="Arial" w:cs="Arial"/>
          <w:sz w:val="24"/>
          <w:szCs w:val="24"/>
          <w:lang w:eastAsia="pt-BR"/>
        </w:rPr>
        <w:t xml:space="preserve"> 2.092.190/SP), que definirá a tese sobre a possibilidade de cobrança extrajudicial de dívida prescrita e a inscrição do nome do devedor em plataformas de renegociação de débitos.</w:t>
      </w:r>
    </w:p>
    <w:p w:rsidR="000B256D" w:rsidRPr="000B256D" w:rsidRDefault="000B256D" w:rsidP="00FC7A2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custas</w:t>
      </w:r>
      <w:r w:rsidRPr="000B256D">
        <w:rPr>
          <w:rFonts w:ascii="Arial" w:eastAsia="Times New Roman" w:hAnsi="Arial" w:cs="Arial"/>
          <w:sz w:val="24"/>
          <w:szCs w:val="24"/>
          <w:lang w:eastAsia="pt-BR"/>
        </w:rPr>
        <w:t>, em razão da justiça gratuita deferida (art. 98, §2º, do CPC).</w:t>
      </w:r>
    </w:p>
    <w:p w:rsidR="000B256D" w:rsidRPr="000B256D" w:rsidRDefault="000B256D" w:rsidP="00FC7A2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256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Publique-se. Registre-se. Intimem-se.</w:t>
      </w:r>
    </w:p>
    <w:bookmarkEnd w:id="0"/>
    <w:p w:rsidR="00F2350D" w:rsidRPr="000B256D" w:rsidRDefault="00F2350D" w:rsidP="000B256D">
      <w:pPr>
        <w:jc w:val="both"/>
        <w:rPr>
          <w:rFonts w:ascii="Arial" w:hAnsi="Arial" w:cs="Arial"/>
          <w:sz w:val="24"/>
          <w:szCs w:val="24"/>
        </w:rPr>
      </w:pPr>
    </w:p>
    <w:sectPr w:rsidR="00F2350D" w:rsidRPr="000B2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56D"/>
    <w:rsid w:val="000B256D"/>
    <w:rsid w:val="00F2350D"/>
    <w:rsid w:val="00FC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DF9B5"/>
  <w15:chartTrackingRefBased/>
  <w15:docId w15:val="{9DFFBBB0-EB81-4D44-9B0B-C77EA17D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B25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B25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56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B256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B2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B2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8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2026-06-29T15:05:00Z</dcterms:created>
  <dcterms:modified xsi:type="dcterms:W3CDTF">2026-06-29T15:12:00Z</dcterms:modified>
</cp:coreProperties>
</file>