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675395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0064624-42.2015.8.14.0301</w:t>
      </w:r>
    </w:p>
    <w:bookmarkEnd w:id="0"/>
    <w:p w:rsidR="00675395" w:rsidRDefault="00675395" w:rsidP="00675395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675395" w:rsidRPr="00675395" w:rsidRDefault="00675395" w:rsidP="00675395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Indenização por Danos Morais ajuizada, originalmente, por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JOSÉ OTÁVIO TEIXEIRA DA FONSECA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JOSÉ ISMAEL VIANA DE ARAGÃO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>, ambos devidamente qualificados nos autos.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A demanda foi proposta em 03 de setembro de 2015 (ID 52975007), objetivando a condenação do réu ao pagamento de indenização por danos morais no valor sugerido de R$ 45.000,00 (quarenta e cinco mil reais). A causa de pedir fundamenta-se em alegado erro médico, consistente </w:t>
      </w:r>
      <w:proofErr w:type="spell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na</w:t>
      </w:r>
      <w:proofErr w:type="spell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não utilização de uma tela de polipropileno durante procedimento cirúrgico de </w:t>
      </w:r>
      <w:proofErr w:type="spell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hernioplastia</w:t>
      </w:r>
      <w:proofErr w:type="spell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inguinal, realizado em 28 de fevereiro de 2014, o que, segundo o autor, teria resultado na recidiva da hérnia e na necessidade de nova intervenção cirúrgica.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Após uma tentativa de citação frustrada (ID 52976429, pág. 101) e uma citação posteriormente declarada nula por este juízo (ID 52976429, pág. 107), o réu foi finalmente citado de forma regular por oficial de justiça, conforme certidão de ID 52976433 (pág. 116), em 15 de março de 2018.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O réu apresentou contestação (ID 52976429, pág. 118 e seguintes), arguindo, em preliminar, a incorreção do valor da causa. No mérito, negou a ocorrência de erro médico, sustentando que a tela de polipropileno foi devidamente utilizada no procedimento e que a recidiva pode ocorrer por outros fatores. Requereu a produção de prova pericial e testemunhal.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O autor apresentou réplica (ID 52976829), refutando as alegações da defesa e reiterando os termos da inicial.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Em decisão saneadora (ID 52976837), proferida em 25 de novembro de 2019, este Juízo acolheu a impugnação ao valor da causa, fixando-o em R$ 45.000,00, e deferiu a produção de prova pericial requerida pelo réu, consistente na realização de ultrassonografia e ressonância magnética, determinando que o custeio seria de responsabilidade da parte ré.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O autor opôs embargos de declaração (ID 92039172 e ID 92039173) contra a decisão saneadora, os quais ficaram pendentes de análise por longo período.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Após a digitalização e migração dos autos para o sistema </w:t>
      </w:r>
      <w:proofErr w:type="spell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>, este Juízo, em decisão de ID 91826602, datada de 28 de abril de 2023, nomeou perita judicial, porém, por equívoco, atribuiu o ônus do pagamento dos honorários ao autor.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Contra tal decisão, o autor novamente opôs embargos de declaração (ID 92039173), apontando a contradição com a decisão saneadora anterior, que havia imputado o custo ao réu, e informando, como fato novo, a realização de nova cirurgia em 01 de março de 2018, o que, em seu entendimento, prejudicaria a perícia.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Em 23 de maio de 2023, a parte ré peticionou (ID 93437759) requerendo a substituição da perita nomeada, por não possuir a especialidade técnica de 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radiologia, necessária para a análise pretendida, indicando assistente técnico e apresentando quesitos.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Em decisão datada de 18 de julho de 2025 (ID 148713413), este Juízo acolheu parcialmente os embargos do autor, retificando a decisão anterior para reafirmar que o ônus da perícia é do réu, e, acolhendo também a preocupação de ambas as partes, substituiu a perita nomeada pelo Sr. HENRIQUE HERPICH.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Ato ordinatório de ID 156996028, de 17 de setembro de 2025, determinou a intimação do novo perito nomeado.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Em 21 de julho de 2025 (ID 148899788), a parte ré peticionou informando ter constatado a alteração do polo ativo para "ESPÓLIO DE JOSE OTAVIO TEIXEIRA DA FONSECA" no sistema, sem que houvesse nos autos a devida habilitação de herdeiros ou comprovação do óbito, requerendo a suspensão do feito e a regularização processual. Esta petição foi reiterada em 16 de janeiro de 2026 (ID 165813470).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Finalmente, os autos foram conclusos para deliberação em 09 de abril de 2026 (ID 173006841).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É o essencial a relatar.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675395" w:rsidRPr="00675395" w:rsidRDefault="00675395" w:rsidP="0067539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O presente processo, ajuizado no ano de 2015, arrasta-se há mais de uma década, marcado por uma sucessão de incidentes processuais e longos períodos de inércia, o que viola frontalmente os princípios da celeridade e da razoável duração do processo, insculpidos no art. 5º, LXXVIII, da Constituição Federal. Cumpre a este Juízo, na qualidade de condutor do feito, adotar as medidas necessárias para sanar as pendências e impulsionar o processo rumo a uma solução definitiva.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Analisando o estado atual dos autos, verifico a existência de duas questões primordiais que impedem o prosseguimento da fase instrutória: a irregularidade na representação processual do polo ativo e a paralisação da produção da prova pericial.</w:t>
      </w:r>
    </w:p>
    <w:p w:rsidR="00675395" w:rsidRPr="00675395" w:rsidRDefault="00675395" w:rsidP="0067539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Irregularidade na Representação Processual do Polo Ativo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A parte ré, em suas petições de ID 148899788 e 165813470, de forma pertinente, aponta uma grave falha processual. O sistema </w:t>
      </w:r>
      <w:proofErr w:type="spell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>, de fato, passou a constar no polo ativo a figura do "ESPÓLIO DE JOSE OTAVIO TEIXEIRA DA FONSECA". Contudo, uma análise minuciosa dos autos eletrônicos e dos documentos digitalizados do processo físico revela a ausência de qualquer petição de habilitação, certidão de óbito do autor originário, ou instrumento de procuração outorgado pelo inventariante.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A última manifestação assinada pelo autor, Dr. José Otávio Teixeira da Fonseca, data de 03 de maio de 2023 (ID 92039173). A alteração cadastral, sem o devido processo legal, levanta sérias dúvidas sobre a regularidade da sucessão processual.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Nos termos do artigo 110 do Código de Processo Civil, ocorrendo a morte de qualquer das partes, dar-se-á a sucessão pelo seu espólio ou pelos seus sucessores. O artigo 313, I, do mesmo diploma, determina que o processo seja suspenso com o falecimento da parte, para que se proceda à devida habilitação dos herdeiros ou do espólio, conforme os artigos 687 e seguintes do CPC.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A ausência dessa regularização constitui vício de pressuposto processual de validade, especificamente a capacidade de estar em juízo e a representação processual. A continuidade do processo sem a devida habilitação dos sucessores torna os atos subsequentes passíveis de nulidade, além de impossibilitar o prosseguimento regular da instrução.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A inércia em promover a sucessão processual, especialmente em um feito que já se alonga por tantos anos, demonstra um aparente desinteresse no prosseguimento da lide por parte de quem teria o direito de fazê-lo. A regularidade da representação é condição </w:t>
      </w:r>
      <w:proofErr w:type="spellStart"/>
      <w:r w:rsidRPr="0067539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sine</w:t>
      </w:r>
      <w:proofErr w:type="spellEnd"/>
      <w:r w:rsidRPr="0067539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67539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qua</w:t>
      </w:r>
      <w:proofErr w:type="spellEnd"/>
      <w:r w:rsidRPr="0067539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non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para o andamento válido do processo.</w:t>
      </w:r>
    </w:p>
    <w:p w:rsidR="00675395" w:rsidRPr="00675395" w:rsidRDefault="00675395" w:rsidP="0067539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Paralisação da Prova Pericial e da Inércia das Partes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Adicionalmente, verifica-se que, apesar da decisão de ID 148713413, proferida em 18 de julho de 2025, que resolveu a questão sobre o custeio da perícia e nomeou novo perito, o feito permaneceu estagnado. O ato ordinatório de ID 156996028, de 17 de setembro de 2025, determinou a intimação do perito, o Sr. Henrique </w:t>
      </w:r>
      <w:proofErr w:type="spell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Herpich</w:t>
      </w:r>
      <w:proofErr w:type="spell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>. Desde então, não há nos autos qualquer manifestação do perito aceitando o encargo, tampouco houve qualquer diligência da parte ré, a quem incumbe o custeio e o principal interesse na produção da prova, no sentido de impulsionar a sua realização.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O processo não é um instrumento que pode ficar à disposição indefinida das partes. O princípio do impulso oficial (art. 2º do CPC) não exime as partes de seu dever de colaboração para que se chegue a uma solução de mérito em tempo razoável (art. 6º do CPC).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No caso concreto, a inércia é bilateral e evidente. A parte autora, ou quem a deveria suceder, não regulariza sua representação processual há anos. A parte ré, por sua vez, apesar de ter requerido a prova pericial e obtido decisão favorável quanto à substituição do perito, não demonstrou qualquer atitude proativa para efetivar a produção da prova, deixando o processo paralisado por meses.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Esta longa e injustificada paralisação, somada ao vício de representação processual, autoriza o juízo a adotar medidas mais enérgicas para evitar a perpetuação do litígio, o que contraria a eficiência e a economia processual. A extinção do processo por abandono ou por ausência de pressuposto processual se afigura como uma medida cabível e necessária, caso a inércia persista.</w:t>
      </w:r>
    </w:p>
    <w:p w:rsidR="00675395" w:rsidRPr="00675395" w:rsidRDefault="00675395" w:rsidP="0067539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Diante do exposto, e considerando a necessidade de sanear o processo e promover seu regular andamento ou, alternativamente, sua extinção,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a) Acolho</w:t>
      </w:r>
      <w:proofErr w:type="gram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a questão de ordem levantada pela parte ré nas petições de ID 148899788 e 165813470. Com fundamento no art. 313, I, do Código de Processo Civil,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suspendo o processo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e determino que se proceda à intimação do procurador que representava o autor originário, bem como se expeça edital, para que, no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 improrrogável de 30 (trinta) dias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>, o espólio ou os herdeiros de JOSÉ OTÁVIO TEIXEIRA DA FONSECA promovam a devida habilitação nos autos, nos termos dos artigos 687 e seguintes do CPC, juntando a certidão de óbito e os documentos que comprovem a legitimidade para suceder a parte no processo (termo de inventariante ou prova da condição de herdeiro);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b) Fica</w:t>
      </w:r>
      <w:proofErr w:type="gram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a parte autora advertida de que a não regularização da representação processual no prazo assinalado implicará a </w:t>
      </w:r>
      <w:r w:rsidRPr="0067539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processo sem resolução do mérito</w:t>
      </w:r>
      <w:r w:rsidRPr="00675395">
        <w:rPr>
          <w:rFonts w:ascii="Arial" w:eastAsia="Times New Roman" w:hAnsi="Arial" w:cs="Arial"/>
          <w:sz w:val="24"/>
          <w:szCs w:val="24"/>
          <w:lang w:eastAsia="pt-BR"/>
        </w:rPr>
        <w:t>, com fundamento nos artigos 313, § 2º, II, e 485, IV, do Código de Processo Civil;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75395">
        <w:rPr>
          <w:rFonts w:ascii="Arial" w:eastAsia="Times New Roman" w:hAnsi="Arial" w:cs="Arial"/>
          <w:sz w:val="24"/>
          <w:szCs w:val="24"/>
          <w:lang w:eastAsia="pt-BR"/>
        </w:rPr>
        <w:t>c) Decorrido</w:t>
      </w:r>
      <w:proofErr w:type="gramEnd"/>
      <w:r w:rsidRPr="00675395">
        <w:rPr>
          <w:rFonts w:ascii="Arial" w:eastAsia="Times New Roman" w:hAnsi="Arial" w:cs="Arial"/>
          <w:sz w:val="24"/>
          <w:szCs w:val="24"/>
          <w:lang w:eastAsia="pt-BR"/>
        </w:rPr>
        <w:t xml:space="preserve"> o prazo, com ou sem manifestação, certifique-se e façam-se os autos conclusos com urgência para decisão de prosseguimento ou extinção;</w:t>
      </w:r>
    </w:p>
    <w:p w:rsidR="00675395" w:rsidRPr="00675395" w:rsidRDefault="00675395" w:rsidP="00675395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d) A análise de todas as demais questões pendentes, inclusive o prosseguimento da prova pericial, fica sobrestada até que seja sanado o vício de representação do polo ativo.</w:t>
      </w:r>
    </w:p>
    <w:p w:rsidR="00675395" w:rsidRPr="00675395" w:rsidRDefault="00675395" w:rsidP="00675395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5395">
        <w:rPr>
          <w:rFonts w:ascii="Arial" w:eastAsia="Times New Roman" w:hAnsi="Arial" w:cs="Arial"/>
          <w:sz w:val="24"/>
          <w:szCs w:val="24"/>
          <w:lang w:eastAsia="pt-BR"/>
        </w:rPr>
        <w:t>Cumpra-se. Intimem-se as partes.</w:t>
      </w:r>
    </w:p>
    <w:p w:rsidR="008C6A8D" w:rsidRPr="00675395" w:rsidRDefault="008C6A8D" w:rsidP="00675395">
      <w:pPr>
        <w:jc w:val="both"/>
        <w:rPr>
          <w:rFonts w:ascii="Arial" w:hAnsi="Arial" w:cs="Arial"/>
          <w:sz w:val="24"/>
          <w:szCs w:val="24"/>
        </w:rPr>
      </w:pPr>
    </w:p>
    <w:sectPr w:rsidR="008C6A8D" w:rsidRPr="00675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395"/>
    <w:rsid w:val="00675395"/>
    <w:rsid w:val="008C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71A3A"/>
  <w15:chartTrackingRefBased/>
  <w15:docId w15:val="{B354B063-51D3-4882-A03C-FF38AEBB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75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75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539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753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7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75395"/>
    <w:rPr>
      <w:b/>
      <w:bCs/>
    </w:rPr>
  </w:style>
  <w:style w:type="character" w:styleId="nfase">
    <w:name w:val="Emphasis"/>
    <w:basedOn w:val="Fontepargpadro"/>
    <w:uiPriority w:val="20"/>
    <w:qFormat/>
    <w:rsid w:val="006753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0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1464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2026-05-01T23:59:00Z</dcterms:created>
  <dcterms:modified xsi:type="dcterms:W3CDTF">2026-05-01T23:59:00Z</dcterms:modified>
</cp:coreProperties>
</file>