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893" w:rsidRPr="00B11893" w:rsidRDefault="00B11893" w:rsidP="00B11893">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Processo nº 0870188-17.2025.8.14.0301</w:t>
      </w:r>
    </w:p>
    <w:p w:rsidR="00B11893" w:rsidRDefault="00B11893" w:rsidP="00B11893">
      <w:pPr>
        <w:spacing w:after="0" w:line="360" w:lineRule="auto"/>
        <w:jc w:val="both"/>
        <w:outlineLvl w:val="0"/>
        <w:rPr>
          <w:rFonts w:ascii="Arial" w:eastAsia="Times New Roman" w:hAnsi="Arial" w:cs="Arial"/>
          <w:b/>
          <w:bCs/>
          <w:kern w:val="36"/>
          <w:sz w:val="24"/>
          <w:szCs w:val="24"/>
          <w:lang w:eastAsia="pt-BR"/>
        </w:rPr>
      </w:pPr>
      <w:r>
        <w:rPr>
          <w:rFonts w:ascii="Arial" w:eastAsia="Times New Roman" w:hAnsi="Arial" w:cs="Arial"/>
          <w:b/>
          <w:bCs/>
          <w:kern w:val="36"/>
          <w:sz w:val="24"/>
          <w:szCs w:val="24"/>
          <w:lang w:eastAsia="pt-BR"/>
        </w:rPr>
        <w:t>DECISÃO</w:t>
      </w:r>
    </w:p>
    <w:p w:rsidR="00B11893" w:rsidRPr="00B11893" w:rsidRDefault="00B11893" w:rsidP="00B11893">
      <w:pPr>
        <w:spacing w:after="0" w:line="360" w:lineRule="auto"/>
        <w:jc w:val="both"/>
        <w:outlineLvl w:val="0"/>
        <w:rPr>
          <w:rFonts w:ascii="Arial" w:eastAsia="Times New Roman" w:hAnsi="Arial" w:cs="Arial"/>
          <w:b/>
          <w:bCs/>
          <w:kern w:val="36"/>
          <w:sz w:val="24"/>
          <w:szCs w:val="24"/>
          <w:lang w:eastAsia="pt-BR"/>
        </w:rPr>
      </w:pPr>
      <w:r w:rsidRPr="00B11893">
        <w:rPr>
          <w:rFonts w:ascii="Arial" w:eastAsia="Times New Roman" w:hAnsi="Arial" w:cs="Arial"/>
          <w:b/>
          <w:bCs/>
          <w:kern w:val="36"/>
          <w:sz w:val="24"/>
          <w:szCs w:val="24"/>
          <w:lang w:eastAsia="pt-BR"/>
        </w:rPr>
        <w:t>1. RELATÓRIO</w:t>
      </w:r>
    </w:p>
    <w:p w:rsidR="00B11893" w:rsidRPr="00B11893" w:rsidRDefault="00B11893" w:rsidP="00B11893">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 xml:space="preserve">Maria do Socorro Rodrigues Nogueira, qualificada nos autos, ajuizou o presente pedido de Abertura, Registro e Cumprimento de Testamento, com fundamento no art. 737 do Código de Processo Civil, em face do espólio de </w:t>
      </w:r>
      <w:proofErr w:type="spellStart"/>
      <w:r w:rsidRPr="00B11893">
        <w:rPr>
          <w:rFonts w:ascii="Arial" w:eastAsia="Times New Roman" w:hAnsi="Arial" w:cs="Arial"/>
          <w:sz w:val="24"/>
          <w:szCs w:val="24"/>
          <w:lang w:eastAsia="pt-BR"/>
        </w:rPr>
        <w:t>Laurival</w:t>
      </w:r>
      <w:proofErr w:type="spellEnd"/>
      <w:r w:rsidRPr="00B11893">
        <w:rPr>
          <w:rFonts w:ascii="Arial" w:eastAsia="Times New Roman" w:hAnsi="Arial" w:cs="Arial"/>
          <w:sz w:val="24"/>
          <w:szCs w:val="24"/>
          <w:lang w:eastAsia="pt-BR"/>
        </w:rPr>
        <w:t xml:space="preserve"> Torres Barra (ID 149338173).</w:t>
      </w:r>
    </w:p>
    <w:p w:rsidR="00B11893" w:rsidRPr="00B11893" w:rsidRDefault="00B11893" w:rsidP="00B11893">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Relata a requerente que o de cujus faleceu em 30 de junho de 2025, sem herdeiros necessários, conforme certidão de óbito juntada (ID 149338185). Afirma que o falecido deixou testamento particular datado de 16 de maio de 2025 (ID 149338178), no qual destinou a totalidade de seus bens ao sobrinho Ivo Henriques Salgueiro, nomeado também como inventariante, e designou a própria requerente como testamenteira, com direito a 3% sobre a herança líquida a título de recompensa.</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Sustenta que o testamento foi elaborado dentro dos requisitos legais exigidos, estando assinado pelo testador e por três testemunhas, e que o herdeiro testamentário manifestou concordância com as disposições testamentárias.</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A requerente formulou pedido de gratuidade da justiça.</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Mediante decisão de ID 157566978, foi determinada a emenda da inicial, no prazo de quinze dias, para comprovação da hipossuficiência financeira alegada, mediante a juntada de documentação idônea.</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A requerente apresentou emenda à inicial (ID 159452678), tempestivamente, conforme certidão de ID 168267518, instruída com declaração de tempo de serviço da Secretaria de Estado de Educação do Pará, que demonstra seu desligamento em janeiro de 2025 (ID 159455453), extratos da conta corrente no Banpará (</w:t>
      </w:r>
      <w:proofErr w:type="spellStart"/>
      <w:r w:rsidRPr="00B11893">
        <w:rPr>
          <w:rFonts w:ascii="Arial" w:eastAsia="Times New Roman" w:hAnsi="Arial" w:cs="Arial"/>
          <w:sz w:val="24"/>
          <w:szCs w:val="24"/>
          <w:lang w:eastAsia="pt-BR"/>
        </w:rPr>
        <w:t>IDs</w:t>
      </w:r>
      <w:proofErr w:type="spellEnd"/>
      <w:r w:rsidRPr="00B11893">
        <w:rPr>
          <w:rFonts w:ascii="Arial" w:eastAsia="Times New Roman" w:hAnsi="Arial" w:cs="Arial"/>
          <w:sz w:val="24"/>
          <w:szCs w:val="24"/>
          <w:lang w:eastAsia="pt-BR"/>
        </w:rPr>
        <w:t xml:space="preserve"> 159455454 e 159455455) e extratos de conta digital no </w:t>
      </w:r>
      <w:proofErr w:type="spellStart"/>
      <w:r w:rsidRPr="00B11893">
        <w:rPr>
          <w:rFonts w:ascii="Arial" w:eastAsia="Times New Roman" w:hAnsi="Arial" w:cs="Arial"/>
          <w:sz w:val="24"/>
          <w:szCs w:val="24"/>
          <w:lang w:eastAsia="pt-BR"/>
        </w:rPr>
        <w:t>Nubank</w:t>
      </w:r>
      <w:proofErr w:type="spellEnd"/>
      <w:r w:rsidRPr="00B11893">
        <w:rPr>
          <w:rFonts w:ascii="Arial" w:eastAsia="Times New Roman" w:hAnsi="Arial" w:cs="Arial"/>
          <w:sz w:val="24"/>
          <w:szCs w:val="24"/>
          <w:lang w:eastAsia="pt-BR"/>
        </w:rPr>
        <w:t xml:space="preserve"> (</w:t>
      </w:r>
      <w:proofErr w:type="spellStart"/>
      <w:r w:rsidRPr="00B11893">
        <w:rPr>
          <w:rFonts w:ascii="Arial" w:eastAsia="Times New Roman" w:hAnsi="Arial" w:cs="Arial"/>
          <w:sz w:val="24"/>
          <w:szCs w:val="24"/>
          <w:lang w:eastAsia="pt-BR"/>
        </w:rPr>
        <w:t>IDs</w:t>
      </w:r>
      <w:proofErr w:type="spellEnd"/>
      <w:r w:rsidRPr="00B11893">
        <w:rPr>
          <w:rFonts w:ascii="Arial" w:eastAsia="Times New Roman" w:hAnsi="Arial" w:cs="Arial"/>
          <w:sz w:val="24"/>
          <w:szCs w:val="24"/>
          <w:lang w:eastAsia="pt-BR"/>
        </w:rPr>
        <w:t xml:space="preserve"> 159455456, 159455457 e 159455458).</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Em 9 de junho de 2026, a requerente peticionou novamente (ID 179088266), requerendo prioridade na tramitação e expedição de alvará judicial para prosseguimento de inventário extrajudicial no qual o de cujus figura como meeiro.</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Os autos vieram conclusos.</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É o relatório. Decido.</w:t>
      </w:r>
    </w:p>
    <w:p w:rsidR="00B11893" w:rsidRPr="00B11893" w:rsidRDefault="00B11893" w:rsidP="00B11893">
      <w:pPr>
        <w:spacing w:after="0" w:line="360" w:lineRule="auto"/>
        <w:jc w:val="both"/>
        <w:outlineLvl w:val="0"/>
        <w:rPr>
          <w:rFonts w:ascii="Arial" w:eastAsia="Times New Roman" w:hAnsi="Arial" w:cs="Arial"/>
          <w:b/>
          <w:bCs/>
          <w:kern w:val="36"/>
          <w:sz w:val="24"/>
          <w:szCs w:val="24"/>
          <w:lang w:eastAsia="pt-BR"/>
        </w:rPr>
      </w:pPr>
      <w:r w:rsidRPr="00B11893">
        <w:rPr>
          <w:rFonts w:ascii="Arial" w:eastAsia="Times New Roman" w:hAnsi="Arial" w:cs="Arial"/>
          <w:b/>
          <w:bCs/>
          <w:kern w:val="36"/>
          <w:sz w:val="24"/>
          <w:szCs w:val="24"/>
          <w:lang w:eastAsia="pt-BR"/>
        </w:rPr>
        <w:t>2. FUNDAMENTAÇÃO</w:t>
      </w:r>
    </w:p>
    <w:p w:rsidR="00B11893" w:rsidRPr="00B11893" w:rsidRDefault="00B11893" w:rsidP="00B11893">
      <w:pPr>
        <w:spacing w:after="0" w:line="360" w:lineRule="auto"/>
        <w:jc w:val="both"/>
        <w:outlineLvl w:val="1"/>
        <w:rPr>
          <w:rFonts w:ascii="Arial" w:eastAsia="Times New Roman" w:hAnsi="Arial" w:cs="Arial"/>
          <w:b/>
          <w:bCs/>
          <w:sz w:val="24"/>
          <w:szCs w:val="24"/>
          <w:lang w:eastAsia="pt-BR"/>
        </w:rPr>
      </w:pPr>
      <w:r w:rsidRPr="00B11893">
        <w:rPr>
          <w:rFonts w:ascii="Arial" w:eastAsia="Times New Roman" w:hAnsi="Arial" w:cs="Arial"/>
          <w:b/>
          <w:bCs/>
          <w:sz w:val="24"/>
          <w:szCs w:val="24"/>
          <w:lang w:eastAsia="pt-BR"/>
        </w:rPr>
        <w:t>2.1. Da gratuidade da justiça</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lastRenderedPageBreak/>
        <w:t>A requerente, pessoa natural, afirma não possuir condições de arcar com as custas processuais sem prejuízo do próprio sustento ou de sua família, o que goza de presunção relativa de veracidade, nos termos do art. 99, § 3º, do Código de Processo Civil.</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Instada a comprovar a alegada hipossuficiência, a requerente juntou documentação suficiente.</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A declaração de tempo de serviço emitida pela SEDUC/PA (ID 159455453) comprova que a requerente encerrou seu vínculo contratual temporário como professora em janeiro de 2025, estando, desde então, sem remuneração fixa proveniente dessa fonte.</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Os extratos da conta corrente mantida no Banpará (</w:t>
      </w:r>
      <w:proofErr w:type="spellStart"/>
      <w:r w:rsidRPr="00B11893">
        <w:rPr>
          <w:rFonts w:ascii="Arial" w:eastAsia="Times New Roman" w:hAnsi="Arial" w:cs="Arial"/>
          <w:sz w:val="24"/>
          <w:szCs w:val="24"/>
          <w:lang w:eastAsia="pt-BR"/>
        </w:rPr>
        <w:t>IDs</w:t>
      </w:r>
      <w:proofErr w:type="spellEnd"/>
      <w:r w:rsidRPr="00B11893">
        <w:rPr>
          <w:rFonts w:ascii="Arial" w:eastAsia="Times New Roman" w:hAnsi="Arial" w:cs="Arial"/>
          <w:sz w:val="24"/>
          <w:szCs w:val="24"/>
          <w:lang w:eastAsia="pt-BR"/>
        </w:rPr>
        <w:t xml:space="preserve"> 159455454 e 159455455) demonstram ausência de movimentação nos meses de setembro e outubro de 2025, com saldo disponível negativo em decorrência de bloqueio de empréstimo, a evidenciar a indisponibilidade de recursos nessa conta.</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 xml:space="preserve">Os extratos da conta digital </w:t>
      </w:r>
      <w:proofErr w:type="spellStart"/>
      <w:r w:rsidRPr="00B11893">
        <w:rPr>
          <w:rFonts w:ascii="Arial" w:eastAsia="Times New Roman" w:hAnsi="Arial" w:cs="Arial"/>
          <w:sz w:val="24"/>
          <w:szCs w:val="24"/>
          <w:lang w:eastAsia="pt-BR"/>
        </w:rPr>
        <w:t>Nubank</w:t>
      </w:r>
      <w:proofErr w:type="spellEnd"/>
      <w:r w:rsidRPr="00B11893">
        <w:rPr>
          <w:rFonts w:ascii="Arial" w:eastAsia="Times New Roman" w:hAnsi="Arial" w:cs="Arial"/>
          <w:sz w:val="24"/>
          <w:szCs w:val="24"/>
          <w:lang w:eastAsia="pt-BR"/>
        </w:rPr>
        <w:t xml:space="preserve"> (</w:t>
      </w:r>
      <w:proofErr w:type="spellStart"/>
      <w:r w:rsidRPr="00B11893">
        <w:rPr>
          <w:rFonts w:ascii="Arial" w:eastAsia="Times New Roman" w:hAnsi="Arial" w:cs="Arial"/>
          <w:sz w:val="24"/>
          <w:szCs w:val="24"/>
          <w:lang w:eastAsia="pt-BR"/>
        </w:rPr>
        <w:t>IDs</w:t>
      </w:r>
      <w:proofErr w:type="spellEnd"/>
      <w:r w:rsidRPr="00B11893">
        <w:rPr>
          <w:rFonts w:ascii="Arial" w:eastAsia="Times New Roman" w:hAnsi="Arial" w:cs="Arial"/>
          <w:sz w:val="24"/>
          <w:szCs w:val="24"/>
          <w:lang w:eastAsia="pt-BR"/>
        </w:rPr>
        <w:t xml:space="preserve"> 159455456, 159455457 e 159455458), relativos aos meses de agosto, setembro e outubro de 2025, revelam movimentação financeira modesta, com entradas mensais na faixa de R$ 2.800,00 a R$ 6.200,00, majoritariamente oriundas de transferências de terceiros, e saídas em valores equivalentes, inclusive para despesas essenciais, culminando em saldos finais reduzidos, inferiores a R$ 900,00.</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O conjunto documental demonstra que a requerente não possui renda fixa estável, não aufere proventos de vínculo empregatício público, e suas contas bancárias não ostentam saldo suficiente para suportar o recolhimento das custas iniciais sem comprometimento do próprio sustento.</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 xml:space="preserve">Portanto, preenchidos os requisitos legais, impõe-se o deferimento da gratuidade da justiça, nos termos dos </w:t>
      </w:r>
      <w:proofErr w:type="spellStart"/>
      <w:r w:rsidRPr="00B11893">
        <w:rPr>
          <w:rFonts w:ascii="Arial" w:eastAsia="Times New Roman" w:hAnsi="Arial" w:cs="Arial"/>
          <w:sz w:val="24"/>
          <w:szCs w:val="24"/>
          <w:lang w:eastAsia="pt-BR"/>
        </w:rPr>
        <w:t>arts</w:t>
      </w:r>
      <w:proofErr w:type="spellEnd"/>
      <w:r w:rsidRPr="00B11893">
        <w:rPr>
          <w:rFonts w:ascii="Arial" w:eastAsia="Times New Roman" w:hAnsi="Arial" w:cs="Arial"/>
          <w:sz w:val="24"/>
          <w:szCs w:val="24"/>
          <w:lang w:eastAsia="pt-BR"/>
        </w:rPr>
        <w:t>. 98 e 99, § 2º, do Código de Processo Civil.</w:t>
      </w:r>
    </w:p>
    <w:p w:rsidR="00B11893" w:rsidRPr="00B11893" w:rsidRDefault="00B11893" w:rsidP="00B11893">
      <w:pPr>
        <w:spacing w:after="0" w:line="360" w:lineRule="auto"/>
        <w:jc w:val="both"/>
        <w:outlineLvl w:val="1"/>
        <w:rPr>
          <w:rFonts w:ascii="Arial" w:eastAsia="Times New Roman" w:hAnsi="Arial" w:cs="Arial"/>
          <w:b/>
          <w:bCs/>
          <w:sz w:val="24"/>
          <w:szCs w:val="24"/>
          <w:lang w:eastAsia="pt-BR"/>
        </w:rPr>
      </w:pPr>
      <w:r w:rsidRPr="00B11893">
        <w:rPr>
          <w:rFonts w:ascii="Arial" w:eastAsia="Times New Roman" w:hAnsi="Arial" w:cs="Arial"/>
          <w:b/>
          <w:bCs/>
          <w:sz w:val="24"/>
          <w:szCs w:val="24"/>
          <w:lang w:eastAsia="pt-BR"/>
        </w:rPr>
        <w:t>2.2. Do procedimento de abertura, registro e cumprimento de testamento</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 xml:space="preserve">O procedimento de abertura, registro e cumprimento de testamento está disciplinado nos </w:t>
      </w:r>
      <w:proofErr w:type="spellStart"/>
      <w:r w:rsidRPr="00B11893">
        <w:rPr>
          <w:rFonts w:ascii="Arial" w:eastAsia="Times New Roman" w:hAnsi="Arial" w:cs="Arial"/>
          <w:sz w:val="24"/>
          <w:szCs w:val="24"/>
          <w:lang w:eastAsia="pt-BR"/>
        </w:rPr>
        <w:t>arts</w:t>
      </w:r>
      <w:proofErr w:type="spellEnd"/>
      <w:r w:rsidRPr="00B11893">
        <w:rPr>
          <w:rFonts w:ascii="Arial" w:eastAsia="Times New Roman" w:hAnsi="Arial" w:cs="Arial"/>
          <w:sz w:val="24"/>
          <w:szCs w:val="24"/>
          <w:lang w:eastAsia="pt-BR"/>
        </w:rPr>
        <w:t>. 735 a 737 do Código de Processo Civil. Cuida-se de procedimento de jurisdição voluntária, cujo escopo se restringe à verificação dos requisitos extrínsecos de validade do testamento e à determinação de seu cumprimento, nos exatos termos da manifestação de última vontade do testador.</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 xml:space="preserve">O testamento particular, trazido aos autos (ID 149338178), está escrito mecanicamente, sem rasuras ou espaços em branco, datado de 16 de maio de </w:t>
      </w:r>
      <w:r w:rsidRPr="00B11893">
        <w:rPr>
          <w:rFonts w:ascii="Arial" w:eastAsia="Times New Roman" w:hAnsi="Arial" w:cs="Arial"/>
          <w:sz w:val="24"/>
          <w:szCs w:val="24"/>
          <w:lang w:eastAsia="pt-BR"/>
        </w:rPr>
        <w:lastRenderedPageBreak/>
        <w:t xml:space="preserve">2025, e firmado pelo testador, Sr. </w:t>
      </w:r>
      <w:proofErr w:type="spellStart"/>
      <w:r w:rsidRPr="00B11893">
        <w:rPr>
          <w:rFonts w:ascii="Arial" w:eastAsia="Times New Roman" w:hAnsi="Arial" w:cs="Arial"/>
          <w:sz w:val="24"/>
          <w:szCs w:val="24"/>
          <w:lang w:eastAsia="pt-BR"/>
        </w:rPr>
        <w:t>Laurival</w:t>
      </w:r>
      <w:proofErr w:type="spellEnd"/>
      <w:r w:rsidRPr="00B11893">
        <w:rPr>
          <w:rFonts w:ascii="Arial" w:eastAsia="Times New Roman" w:hAnsi="Arial" w:cs="Arial"/>
          <w:sz w:val="24"/>
          <w:szCs w:val="24"/>
          <w:lang w:eastAsia="pt-BR"/>
        </w:rPr>
        <w:t xml:space="preserve"> Torres Barra, que apôs sua impressão digital em razão de não ter firmeza na mão para assinatura por extenso, conforme declarado no próprio instrumento. O documento foi subscrito por três testemunhas: Milene Andresa Nogueira Caxias Ferreira, Tatiana Pereira da Rocha e </w:t>
      </w:r>
      <w:proofErr w:type="spellStart"/>
      <w:r w:rsidRPr="00B11893">
        <w:rPr>
          <w:rFonts w:ascii="Arial" w:eastAsia="Times New Roman" w:hAnsi="Arial" w:cs="Arial"/>
          <w:sz w:val="24"/>
          <w:szCs w:val="24"/>
          <w:lang w:eastAsia="pt-BR"/>
        </w:rPr>
        <w:t>Wendson</w:t>
      </w:r>
      <w:proofErr w:type="spellEnd"/>
      <w:r w:rsidRPr="00B11893">
        <w:rPr>
          <w:rFonts w:ascii="Arial" w:eastAsia="Times New Roman" w:hAnsi="Arial" w:cs="Arial"/>
          <w:sz w:val="24"/>
          <w:szCs w:val="24"/>
          <w:lang w:eastAsia="pt-BR"/>
        </w:rPr>
        <w:t xml:space="preserve"> </w:t>
      </w:r>
      <w:proofErr w:type="spellStart"/>
      <w:r w:rsidRPr="00B11893">
        <w:rPr>
          <w:rFonts w:ascii="Arial" w:eastAsia="Times New Roman" w:hAnsi="Arial" w:cs="Arial"/>
          <w:sz w:val="24"/>
          <w:szCs w:val="24"/>
          <w:lang w:eastAsia="pt-BR"/>
        </w:rPr>
        <w:t>Patric</w:t>
      </w:r>
      <w:proofErr w:type="spellEnd"/>
      <w:r w:rsidRPr="00B11893">
        <w:rPr>
          <w:rFonts w:ascii="Arial" w:eastAsia="Times New Roman" w:hAnsi="Arial" w:cs="Arial"/>
          <w:sz w:val="24"/>
          <w:szCs w:val="24"/>
          <w:lang w:eastAsia="pt-BR"/>
        </w:rPr>
        <w:t xml:space="preserve"> </w:t>
      </w:r>
      <w:proofErr w:type="spellStart"/>
      <w:r w:rsidRPr="00B11893">
        <w:rPr>
          <w:rFonts w:ascii="Arial" w:eastAsia="Times New Roman" w:hAnsi="Arial" w:cs="Arial"/>
          <w:sz w:val="24"/>
          <w:szCs w:val="24"/>
          <w:lang w:eastAsia="pt-BR"/>
        </w:rPr>
        <w:t>Mescouto</w:t>
      </w:r>
      <w:proofErr w:type="spellEnd"/>
      <w:r w:rsidRPr="00B11893">
        <w:rPr>
          <w:rFonts w:ascii="Arial" w:eastAsia="Times New Roman" w:hAnsi="Arial" w:cs="Arial"/>
          <w:sz w:val="24"/>
          <w:szCs w:val="24"/>
          <w:lang w:eastAsia="pt-BR"/>
        </w:rPr>
        <w:t xml:space="preserve"> Silva, todas qualificadas no instrumento.</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O testador declarou, perante as testemunhas, que o testamento foi lido na íntegra, e que aquele era seu primeiro testamento, não havendo nenhum outro anterior. Afirmou, ainda, estar em perfeito juízo e em pleno gozo de suas faculdades intelectuais, sem nenhuma interdição.</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Registre-se que a requerente afirma, na inicial, que o testador não possuía herdeiros necessários, podendo dispor livremente da totalidade de seus bens (art. 1.857, §1º, do Código Civil). A certidão de óbito juntada (ID 149338185) indica que o falecido era viúvo, sem que conste a existência de descendentes ou ascendentes vivos.</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 xml:space="preserve">O art. 737 do Código de Processo Civil estabelece que a confirmação do testamento particular será requerida ao juiz, observando-se, no que couber, o disposto nos </w:t>
      </w:r>
      <w:proofErr w:type="spellStart"/>
      <w:r w:rsidRPr="00B11893">
        <w:rPr>
          <w:rFonts w:ascii="Arial" w:eastAsia="Times New Roman" w:hAnsi="Arial" w:cs="Arial"/>
          <w:sz w:val="24"/>
          <w:szCs w:val="24"/>
          <w:lang w:eastAsia="pt-BR"/>
        </w:rPr>
        <w:t>arts</w:t>
      </w:r>
      <w:proofErr w:type="spellEnd"/>
      <w:r w:rsidRPr="00B11893">
        <w:rPr>
          <w:rFonts w:ascii="Arial" w:eastAsia="Times New Roman" w:hAnsi="Arial" w:cs="Arial"/>
          <w:sz w:val="24"/>
          <w:szCs w:val="24"/>
          <w:lang w:eastAsia="pt-BR"/>
        </w:rPr>
        <w:t>. 735 e 736 do mesmo diploma. O art. 735 determina a citação dos herdeiros legais para se manifestarem no prazo de cinco dias, bem como a oitiva do Ministério Público. O art. 736 prevê a designação de audiência de confirmação, se necessária, com a inquirição de testemunhas.</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No caso concreto, o herdeiro testamentário, Ivo Henriques Salgueiro, foi nomeado como herdeiro universal da totalidade dos bens pelo próprio testador. A requerente afirma que comunicou o herdeiro acerca da existência do testamento e de sua nomeação como inventariante, tendo ele manifestado concordância com as disposições testamentárias.</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Contudo, a despeito da alegada concordância do herdeiro testamentário, é imperativa sua citação formal para, querendo, apresentar impugnação no prazo legal de cinco dias, nos termos do art. 737, I, do Código de Processo Civil. A formalidade da citação é essencial à validade do procedimento e à higidez da futura confirmação judicial.</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Do mesmo modo, é obrigatória a intervenção do Ministério Público como fiscal da ordem jurídica, conforme determina o art. 178, II, do Código de Processo Civil, ante a existência de interesse de incapaz ou, no caso, por se tratar de procedimento de jurisdição voluntária em matéria sucessória.</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lastRenderedPageBreak/>
        <w:t>Ultimadas essas providências, e não havendo impugnação, o testamento poderá ser confirmado para que produza seus jurídicos e regulares efeitos, ordenando-se o seu registro e cumprimento.</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Quanto ao pedido de expedição de alvará para prosseguimento de inventário extrajudicial (ID 179088266), a matéria será apreciada quando da confirmação do testamento, ocasião em que se poderá autorizar a prática dos atos necessários à efetivação das disposições testamentárias, inclusive no que se refere ao patrimônio do de cujus perante terceiros. Por ora, compete dar andamento regular ao presente feito.</w:t>
      </w:r>
    </w:p>
    <w:p w:rsidR="00B11893" w:rsidRPr="00B11893" w:rsidRDefault="00B11893" w:rsidP="00B11893">
      <w:pPr>
        <w:spacing w:after="0" w:line="360" w:lineRule="auto"/>
        <w:jc w:val="both"/>
        <w:outlineLvl w:val="0"/>
        <w:rPr>
          <w:rFonts w:ascii="Arial" w:eastAsia="Times New Roman" w:hAnsi="Arial" w:cs="Arial"/>
          <w:b/>
          <w:bCs/>
          <w:kern w:val="36"/>
          <w:sz w:val="24"/>
          <w:szCs w:val="24"/>
          <w:lang w:eastAsia="pt-BR"/>
        </w:rPr>
      </w:pPr>
      <w:r w:rsidRPr="00B11893">
        <w:rPr>
          <w:rFonts w:ascii="Arial" w:eastAsia="Times New Roman" w:hAnsi="Arial" w:cs="Arial"/>
          <w:b/>
          <w:bCs/>
          <w:kern w:val="36"/>
          <w:sz w:val="24"/>
          <w:szCs w:val="24"/>
          <w:lang w:eastAsia="pt-BR"/>
        </w:rPr>
        <w:t>3. DISPOSITIVO</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Ante o exposto:</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 xml:space="preserve">a) </w:t>
      </w:r>
      <w:r w:rsidRPr="00B11893">
        <w:rPr>
          <w:rFonts w:ascii="Arial" w:eastAsia="Times New Roman" w:hAnsi="Arial" w:cs="Arial"/>
          <w:b/>
          <w:bCs/>
          <w:sz w:val="24"/>
          <w:szCs w:val="24"/>
          <w:lang w:eastAsia="pt-BR"/>
        </w:rPr>
        <w:t>defiro o pedido de gratuidade da justiça</w:t>
      </w:r>
      <w:r w:rsidRPr="00B11893">
        <w:rPr>
          <w:rFonts w:ascii="Arial" w:eastAsia="Times New Roman" w:hAnsi="Arial" w:cs="Arial"/>
          <w:sz w:val="24"/>
          <w:szCs w:val="24"/>
          <w:lang w:eastAsia="pt-BR"/>
        </w:rPr>
        <w:t xml:space="preserve"> formulado pela requerente, nos termos dos </w:t>
      </w:r>
      <w:proofErr w:type="spellStart"/>
      <w:r w:rsidRPr="00B11893">
        <w:rPr>
          <w:rFonts w:ascii="Arial" w:eastAsia="Times New Roman" w:hAnsi="Arial" w:cs="Arial"/>
          <w:sz w:val="24"/>
          <w:szCs w:val="24"/>
          <w:lang w:eastAsia="pt-BR"/>
        </w:rPr>
        <w:t>arts</w:t>
      </w:r>
      <w:proofErr w:type="spellEnd"/>
      <w:r w:rsidRPr="00B11893">
        <w:rPr>
          <w:rFonts w:ascii="Arial" w:eastAsia="Times New Roman" w:hAnsi="Arial" w:cs="Arial"/>
          <w:sz w:val="24"/>
          <w:szCs w:val="24"/>
          <w:lang w:eastAsia="pt-BR"/>
        </w:rPr>
        <w:t>. 98 e 99 do Código de Processo Civil;</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 xml:space="preserve">b) </w:t>
      </w:r>
      <w:r w:rsidRPr="00B11893">
        <w:rPr>
          <w:rFonts w:ascii="Arial" w:eastAsia="Times New Roman" w:hAnsi="Arial" w:cs="Arial"/>
          <w:b/>
          <w:bCs/>
          <w:sz w:val="24"/>
          <w:szCs w:val="24"/>
          <w:lang w:eastAsia="pt-BR"/>
        </w:rPr>
        <w:t>determino a citação</w:t>
      </w:r>
      <w:r w:rsidRPr="00B11893">
        <w:rPr>
          <w:rFonts w:ascii="Arial" w:eastAsia="Times New Roman" w:hAnsi="Arial" w:cs="Arial"/>
          <w:sz w:val="24"/>
          <w:szCs w:val="24"/>
          <w:lang w:eastAsia="pt-BR"/>
        </w:rPr>
        <w:t xml:space="preserve"> do herdeiro testamentário Ivo Henriques Salgueiro, qualificado no testamento de ID 149338178, para, no prazo de cinco dias, querendo, apresentar impugnação ao testamento, nos termos dos </w:t>
      </w:r>
      <w:proofErr w:type="spellStart"/>
      <w:r w:rsidRPr="00B11893">
        <w:rPr>
          <w:rFonts w:ascii="Arial" w:eastAsia="Times New Roman" w:hAnsi="Arial" w:cs="Arial"/>
          <w:sz w:val="24"/>
          <w:szCs w:val="24"/>
          <w:lang w:eastAsia="pt-BR"/>
        </w:rPr>
        <w:t>arts</w:t>
      </w:r>
      <w:proofErr w:type="spellEnd"/>
      <w:r w:rsidRPr="00B11893">
        <w:rPr>
          <w:rFonts w:ascii="Arial" w:eastAsia="Times New Roman" w:hAnsi="Arial" w:cs="Arial"/>
          <w:sz w:val="24"/>
          <w:szCs w:val="24"/>
          <w:lang w:eastAsia="pt-BR"/>
        </w:rPr>
        <w:t>. 735 e 737 do Código de Processo Civil;</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 xml:space="preserve">c) </w:t>
      </w:r>
      <w:r w:rsidRPr="00B11893">
        <w:rPr>
          <w:rFonts w:ascii="Arial" w:eastAsia="Times New Roman" w:hAnsi="Arial" w:cs="Arial"/>
          <w:b/>
          <w:bCs/>
          <w:sz w:val="24"/>
          <w:szCs w:val="24"/>
          <w:lang w:eastAsia="pt-BR"/>
        </w:rPr>
        <w:t>determino a intimação do Ministério Público do Estado do Pará</w:t>
      </w:r>
      <w:r w:rsidRPr="00B11893">
        <w:rPr>
          <w:rFonts w:ascii="Arial" w:eastAsia="Times New Roman" w:hAnsi="Arial" w:cs="Arial"/>
          <w:sz w:val="24"/>
          <w:szCs w:val="24"/>
          <w:lang w:eastAsia="pt-BR"/>
        </w:rPr>
        <w:t xml:space="preserve"> para, como fiscal da ordem jurídica, manifestar-se nos autos, nos termos do art. 178, II, do Código de Processo Civil;</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d) após, voltem conclusos para apreciação da confirmação do testamento e expedição das autorizações pertinentes.</w:t>
      </w:r>
    </w:p>
    <w:p w:rsidR="00B11893" w:rsidRPr="00B11893" w:rsidRDefault="00B11893" w:rsidP="005257A0">
      <w:pPr>
        <w:spacing w:after="0" w:line="360" w:lineRule="auto"/>
        <w:jc w:val="both"/>
        <w:rPr>
          <w:rFonts w:ascii="Arial" w:eastAsia="Times New Roman" w:hAnsi="Arial" w:cs="Arial"/>
          <w:sz w:val="24"/>
          <w:szCs w:val="24"/>
          <w:lang w:eastAsia="pt-BR"/>
        </w:rPr>
      </w:pPr>
      <w:r w:rsidRPr="00B11893">
        <w:rPr>
          <w:rFonts w:ascii="Arial" w:eastAsia="Times New Roman" w:hAnsi="Arial" w:cs="Arial"/>
          <w:sz w:val="24"/>
          <w:szCs w:val="24"/>
          <w:lang w:eastAsia="pt-BR"/>
        </w:rPr>
        <w:t>Cumpra-se.</w:t>
      </w:r>
    </w:p>
    <w:p w:rsidR="00B11893" w:rsidRPr="00B11893" w:rsidRDefault="00B11893" w:rsidP="005257A0">
      <w:pPr>
        <w:spacing w:after="0" w:line="360" w:lineRule="auto"/>
        <w:jc w:val="both"/>
        <w:rPr>
          <w:rFonts w:ascii="Arial" w:eastAsia="Times New Roman" w:hAnsi="Arial" w:cs="Arial"/>
          <w:sz w:val="24"/>
          <w:szCs w:val="24"/>
          <w:lang w:eastAsia="pt-BR"/>
        </w:rPr>
      </w:pPr>
      <w:bookmarkStart w:id="0" w:name="_GoBack"/>
      <w:bookmarkEnd w:id="0"/>
      <w:r w:rsidRPr="00B11893">
        <w:rPr>
          <w:rFonts w:ascii="Arial" w:eastAsia="Times New Roman" w:hAnsi="Arial" w:cs="Arial"/>
          <w:sz w:val="24"/>
          <w:szCs w:val="24"/>
          <w:lang w:eastAsia="pt-BR"/>
        </w:rPr>
        <w:t>Intimem-se.</w:t>
      </w:r>
    </w:p>
    <w:p w:rsidR="00226EEF" w:rsidRPr="00B11893" w:rsidRDefault="00226EEF" w:rsidP="00B11893">
      <w:pPr>
        <w:spacing w:after="0" w:line="360" w:lineRule="auto"/>
        <w:jc w:val="both"/>
        <w:rPr>
          <w:rFonts w:ascii="Arial" w:hAnsi="Arial" w:cs="Arial"/>
          <w:sz w:val="24"/>
          <w:szCs w:val="24"/>
        </w:rPr>
      </w:pPr>
    </w:p>
    <w:sectPr w:rsidR="00226EEF" w:rsidRPr="00B118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893"/>
    <w:rsid w:val="00226EEF"/>
    <w:rsid w:val="005257A0"/>
    <w:rsid w:val="00B118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E9C9A"/>
  <w15:chartTrackingRefBased/>
  <w15:docId w15:val="{0F32C918-871B-45B0-99FF-90B9D7DA0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B118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B1189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11893"/>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B11893"/>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B1189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118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297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1256</Words>
  <Characters>6783</Characters>
  <Application>Microsoft Office Word</Application>
  <DocSecurity>0</DocSecurity>
  <Lines>56</Lines>
  <Paragraphs>16</Paragraphs>
  <ScaleCrop>false</ScaleCrop>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2026-07-03T16:24:00Z</dcterms:created>
  <dcterms:modified xsi:type="dcterms:W3CDTF">2026-07-03T16:31:00Z</dcterms:modified>
</cp:coreProperties>
</file>