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B81" w:rsidRPr="00786B81" w:rsidRDefault="00786B81" w:rsidP="00786B81">
      <w:pPr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bookmarkStart w:id="0" w:name="_GoBack"/>
      <w:r w:rsidRPr="00786B81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PROCESSO Nº 0823667-77.2026.8.14.0301 </w:t>
      </w:r>
    </w:p>
    <w:bookmarkEnd w:id="0"/>
    <w:p w:rsidR="00786B81" w:rsidRPr="00786B81" w:rsidRDefault="00786B81" w:rsidP="00786B81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b/>
          <w:sz w:val="24"/>
          <w:szCs w:val="24"/>
          <w:lang w:eastAsia="pt-BR"/>
        </w:rPr>
        <w:t>DECISÃO</w:t>
      </w:r>
    </w:p>
    <w:p w:rsidR="00786B81" w:rsidRPr="00786B81" w:rsidRDefault="00786B81" w:rsidP="00786B81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CABEÇALHO E IDENTIFICAÇÃO</w:t>
      </w:r>
    </w:p>
    <w:p w:rsidR="00786B81" w:rsidRPr="00786B81" w:rsidRDefault="00786B81" w:rsidP="00786B81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Os presentes autos versam sobre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Mandado de Segurança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com pedido de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medida liminar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impetrado por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CONTROLL MASTER INDUSTRIAL LTDA.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em face de ato atribuído ao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Pregoeiro da COMPANHIA DE SANEAMENTO DO PARÁ – COSANPA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no qual se busca a declaração de nulidade de ato administrativo de habilitação técnica e econômico-financeira de licitante em certame público. A demanda foi originalmente distribuída perante o juízo da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4ª Vara de Fazenda da Capital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sob o rito especial da Lei nº 12.016/2009, visando à proteção de suposto direito líquido e certo da impetrante à correta aplicação das regras </w:t>
      </w:r>
      <w:proofErr w:type="spellStart"/>
      <w:r w:rsidRPr="00786B81">
        <w:rPr>
          <w:rFonts w:ascii="Arial" w:eastAsia="Times New Roman" w:hAnsi="Arial" w:cs="Arial"/>
          <w:sz w:val="24"/>
          <w:szCs w:val="24"/>
          <w:lang w:eastAsia="pt-BR"/>
        </w:rPr>
        <w:t>editalícias</w:t>
      </w:r>
      <w:proofErr w:type="spellEnd"/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do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Pregão Eletrônico nº 90023/2025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786B81" w:rsidRPr="00786B81" w:rsidRDefault="00786B81" w:rsidP="00786B81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Conforme se extrai da movimentação processual, o juízo fazendário declinou de sua competência absoluta para o processamento e julgamento do feito, determinando a imediata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redistribuição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dos autos a uma das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Varas Cíveis e Empresariais da Capital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. Tal decisão fundamentou-se na natureza jurídica da autoridade impetrada, vinculada à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COSANPA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que ostenta a condição de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Sociedade de Economia Mista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>, pessoa jurídica de direito privado integrante da Administração Pública Indireta do Estado do Pará.</w:t>
      </w:r>
    </w:p>
    <w:p w:rsidR="00786B81" w:rsidRPr="00786B81" w:rsidRDefault="00786B81" w:rsidP="00786B81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A fundamentação adotada pelo magistrado singular na decisão de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170384178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ressaltou que as sociedades de economia mista, por força do disposto no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173, § 1º, inciso II, da Constituição Federal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submetem-se ao regime jurídico próprio das empresas privadas no que concerne aos seus direitos e obrigações civis, comerciais, trabalhistas e tributários. Em decorrência dessa premissa constitucional, o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Egrégio Tribunal de Justiça do Estado do Pará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por meio de Incidente de Uniformização de Jurisprudência, consolidou o entendimento de que tais entidades não dispõem de foro privativo perante as Varas de Fazenda Pública, atraindo a competência das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Varas Cíveis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para a solução de seus litígios.</w:t>
      </w:r>
    </w:p>
    <w:p w:rsidR="00786B81" w:rsidRPr="00786B81" w:rsidRDefault="00786B81" w:rsidP="00786B81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Dessa forma, os autos foram encaminhados a este juízo da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11ª Vara Cível e Empresarial de Belém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onde se processará a análise detida dos pedidos formulados na exordial de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168412236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. A identificação precisa das partes e a correta fixação da competência deste órgão jurisdicional são medidas indispensáveis para assegurar a validade de todos os atos processuais 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subsequentes, especialmente considerando a gravidade do pedido liminar de suspensão de procedimento licitatório destinado ao fornecimento de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Estações de Tratamento de Água (</w:t>
      </w:r>
      <w:proofErr w:type="spellStart"/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ETAs</w:t>
      </w:r>
      <w:proofErr w:type="spellEnd"/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para diversos municípios paraenses.</w:t>
      </w:r>
    </w:p>
    <w:p w:rsidR="00786B81" w:rsidRPr="00786B81" w:rsidRDefault="00786B81" w:rsidP="00786B81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Neste cenário de regularidade procedimental após a redistribuição, este juízo passa a exercer a jurisdição plena sobre a demanda, verificando os pressupostos de admissibilidade do </w:t>
      </w:r>
      <w:r w:rsidRPr="00786B8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writ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e a subsistência dos requisitos autorizadores da tutela de urgência pleiteada pela impetrante contra a decisão administrativa que manteve a habilitação da empresa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POLLYCALL COMÉRCIO E SERVIÇOS LTDA.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no referido certame.</w:t>
      </w:r>
    </w:p>
    <w:p w:rsidR="00786B81" w:rsidRPr="00786B81" w:rsidRDefault="00786B81" w:rsidP="00786B81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RELATÓRIO PROCESSUAL</w:t>
      </w:r>
    </w:p>
    <w:p w:rsidR="00786B81" w:rsidRPr="00786B81" w:rsidRDefault="00786B81" w:rsidP="00786B81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Mandado de Segurança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com pedido de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medida liminar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impetrado por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CONTROLL MASTER INDUSTRIAL LTDA.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contra ato reputado ilegal praticado pelo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Pregoeiro da COMPANHIA DE SANEAMENTO DO PARÁ – COSANPA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figurando como litisconsorte passiva necessária a empresa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POLLYCALL COMÉRCIO E SERVIÇOS LTDA.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vencedora do certame licitatório objeto da lide. A impetrante insurge-se contra a decisão administrativa que manteve a habilitação da litisconsorte no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Pregão Eletrônico nº 90023/2025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(Processo nº E-2025/3230105), cujo objeto consiste na contratação de empresa especializada para o fornecimento, instalação e comissionamento de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Estações de Tratamento de Água (</w:t>
      </w:r>
      <w:proofErr w:type="spellStart"/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ETAs</w:t>
      </w:r>
      <w:proofErr w:type="spellEnd"/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de </w:t>
      </w:r>
      <w:proofErr w:type="spellStart"/>
      <w:r w:rsidRPr="00786B81">
        <w:rPr>
          <w:rFonts w:ascii="Arial" w:eastAsia="Times New Roman" w:hAnsi="Arial" w:cs="Arial"/>
          <w:sz w:val="24"/>
          <w:szCs w:val="24"/>
          <w:lang w:eastAsia="pt-BR"/>
        </w:rPr>
        <w:t>desferrização</w:t>
      </w:r>
      <w:proofErr w:type="spellEnd"/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nos municípios de Belém, Ananindeua e Marituba.</w:t>
      </w:r>
    </w:p>
    <w:p w:rsidR="00786B81" w:rsidRPr="00786B81" w:rsidRDefault="00786B81" w:rsidP="00786B81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Em suas razões iniciais, a impetrante sustenta possuir direito líquido e certo à observância estrita das regras </w:t>
      </w:r>
      <w:proofErr w:type="spellStart"/>
      <w:r w:rsidRPr="00786B81">
        <w:rPr>
          <w:rFonts w:ascii="Arial" w:eastAsia="Times New Roman" w:hAnsi="Arial" w:cs="Arial"/>
          <w:sz w:val="24"/>
          <w:szCs w:val="24"/>
          <w:lang w:eastAsia="pt-BR"/>
        </w:rPr>
        <w:t>editalícias</w:t>
      </w:r>
      <w:proofErr w:type="spellEnd"/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alegando que a autoridade coatora violou os princípios da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vinculação ao instrumento convocatório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e do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julgamento objetivo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. Argumenta, em síntese, que a empresa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POLLYCALL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foi indevidamente habilitada, uma vez que não teria comprovado, por meio de atestados de capacidade técnica ou Certidões de Acervo Técnico (</w:t>
      </w:r>
      <w:proofErr w:type="spellStart"/>
      <w:r w:rsidRPr="00786B81">
        <w:rPr>
          <w:rFonts w:ascii="Arial" w:eastAsia="Times New Roman" w:hAnsi="Arial" w:cs="Arial"/>
          <w:sz w:val="24"/>
          <w:szCs w:val="24"/>
          <w:lang w:eastAsia="pt-BR"/>
        </w:rPr>
        <w:t>CATs</w:t>
      </w:r>
      <w:proofErr w:type="spellEnd"/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), a experiência mínima exigida no Termo de Referência. Especificamente, aponta que o edital exigia a comprovação de execução de unidades individuais com vazões de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450 m³/h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225 m³/h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enquanto os documentos apresentados pela vencedora demonstrariam apenas experiências com vazões significativamente inferiores, variando entre 70 m³/h e 180 m³/h. Aduz que o somatório de "múltiplos atestados" permitido no edital não autorizaria a fragmentação do requisito 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lastRenderedPageBreak/>
        <w:t>técnico de escala, visto que a complexidade de operação de uma unidade de grande porte não se equipara à execução sucessiva de pequenos objetos.</w:t>
      </w:r>
    </w:p>
    <w:p w:rsidR="00786B81" w:rsidRPr="00786B81" w:rsidRDefault="00786B81" w:rsidP="00786B81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Ademais, a impetrante questiona a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qualificação econômico-financeira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da litisconsorte, destacando que a empresa apresentou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patrimônio líquido negativo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no balanço referente ao exercício de 2024 e promoveu um aumento de capital social de R$ 500.000,00 para R$ 700.000,00 apenas quatro dias antes da abertura do pregão, o que sugeriria uma tentativa de adequação formal meramente casuística. Suscita, ainda, irregularidade quanto ao cumprimento da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cota de aprendizes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>, alegando que a contratação de menor aprendiz ocorreu em data imediatamente anterior ao certame para suprir a exigência legal de forma extemporânea. Com base nesses fundamentos, requereu a concessão de liminar para suspender os efeitos do ato de habilitação e impedir a formalização ou execução do contrato administrativo, sob pena de risco de dano irreparável e consolidação financeira irreversível da contratação.</w:t>
      </w:r>
    </w:p>
    <w:p w:rsidR="00786B81" w:rsidRPr="00786B81" w:rsidRDefault="00786B81" w:rsidP="00786B81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O feito foi inicialmente distribuído perante o juízo da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4ª Vara de Fazenda da Capital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que declinou da competência em razão da natureza jurídica de sociedade de economia mista da autoridade impetrada. Atribuiu-se à causa o valor de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R$ 20.000,00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(vinte mil reais) para fins meramente fiscais. A regularidade do preparo processual foi devidamente comprovada mediante a juntada do comprovante de pagamento das custas iniciais no valor de R$ 1.381,80, conforme documento de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168437264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e respectivo comprovante bancário. Vieram os autos redistribuídos a este juízo, restando pendente a análise do pedido de tutela de urgência.</w:t>
      </w:r>
    </w:p>
    <w:p w:rsidR="00786B81" w:rsidRPr="00786B81" w:rsidRDefault="00786B81" w:rsidP="00786B81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FUNDAMENTAÇÃO — COMPETÊNCIA E CABIMENTO</w:t>
      </w:r>
    </w:p>
    <w:p w:rsidR="00786B81" w:rsidRPr="00786B81" w:rsidRDefault="00786B81" w:rsidP="00786B8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No que tange à fixação da competência para o processamento e julgamento da presente ação, impõe-se ratificar o acerto da decisão declinatória de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170384178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. A controvérsia em exame envolve ato praticado por autoridade vinculada à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COMPANHIA DE SANEAMENTO DO PARÁ — COSANPA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que ostenta a natureza jurídica de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Sociedade de Economia Mista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. Embora tal entidade integre a Administração Pública Indireta e desempenhe serviço público essencial, sua personalidade jurídica é de direito privado, o que atrai a aplicação do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173, § 1º, inciso II, da Constituição Federal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. Conforme os preceitos constitucionais e o entendimento pacificado pelo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Egrégio Tribunal de Justiça do Estado do Pará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as sociedades de economia mista não gozam de foro 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privilegiado ou privativo perante as Varas de Fazenda Pública, submetendo-se à jurisdição das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Varas Cíveis e Empresariais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quando o litígio não envolve diretamente o ente federado instituidor ou suas autarquias. Nesse sentido, consolidou-se a tese de que a autoridade impetrada, ao conduzir o procedimento licitatório regulado pela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Lei nº 13.303/2016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não se confunde com o conceito estrito de Fazenda Pública para fins de prerrogativa de foro. Portanto, este Juízo da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11ª Vara Cível e Empresarial de Belém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é plenamente competente para processar e julgar o feito.</w:t>
      </w:r>
    </w:p>
    <w:p w:rsidR="00786B81" w:rsidRPr="00786B81" w:rsidRDefault="00786B81" w:rsidP="00786B8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Quanto à admissibilidade do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Mandado de Segurança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verifica-se que a via eleita </w:t>
      </w:r>
      <w:proofErr w:type="gramStart"/>
      <w:r w:rsidRPr="00786B81">
        <w:rPr>
          <w:rFonts w:ascii="Arial" w:eastAsia="Times New Roman" w:hAnsi="Arial" w:cs="Arial"/>
          <w:sz w:val="24"/>
          <w:szCs w:val="24"/>
          <w:lang w:eastAsia="pt-BR"/>
        </w:rPr>
        <w:t>apresenta-se</w:t>
      </w:r>
      <w:proofErr w:type="gramEnd"/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adequada para o controle de legalidade de atos administrativos praticados em procedimentos licitatórios. Nos termos do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1º, § 1º, da Lei nº 12.016/2009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>, equiparam-se às autoridades os dirigentes de pessoas jurídicas no exercício de atribuições do poder público, sendo certo que a condução de um pregão eletrônico por sociedade de economia mista constitui nítido exercício de função delegada. A impetrante sustenta a violação de direito líquido e certo à vinculação ao instrumento convocatório, instruindo a inicial com robusta prova documental — incluindo o edital, os atestados de capacidade técnica da vencedora e as decisões administrativas questionadas — o que satisfaz o requisito da prova pré-constituída indispensável ao rito especial.</w:t>
      </w:r>
    </w:p>
    <w:p w:rsidR="00786B81" w:rsidRPr="00786B81" w:rsidRDefault="00786B81" w:rsidP="00786B8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No tocante à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tempestividade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a impetração observa rigorosamente o prazo decadencial estabelecido na legislação de regência. De acordo com o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23 da Lei nº 12.016/2009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o direito de requerer o </w:t>
      </w:r>
      <w:r w:rsidRPr="00786B8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writ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extingue-se decorridos 120 (cento e vinte) dias contados da ciência, pelo interessado, do ato impugnado. No caso em tela, a impetrante afirma ter tomado ciência da decisão administrativa que rejeitou seu recurso e manteve a habilitação da empresa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POLLYCALL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em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13/02/2026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. Considerando que a petição inicial foi protocolada em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25/02/2026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>, resta evidente que o protocolo ocorreu poucos dias após o ato coator, inexistindo qualquer óbice temporal ao conhecimento da demanda. Assim, estando presentes as condições da ação e os pressupostos processuais, passo à análise da necessidade de dilação probatória ou contraditório prévio para apreciação da medida liminar.</w:t>
      </w:r>
    </w:p>
    <w:p w:rsidR="00786B81" w:rsidRPr="00786B81" w:rsidRDefault="00786B81" w:rsidP="00786B81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4. FUNDAMENTAÇÃO — NECESSIDADE DE CONTRADITÓRIO PRÉVIO</w:t>
      </w:r>
    </w:p>
    <w:p w:rsidR="00786B81" w:rsidRPr="00786B81" w:rsidRDefault="00786B81" w:rsidP="00786B8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Compulsando detidamente os autos, verifica-se que a controvérsia instaurada pela impetrante possui contornos de elevada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complexidade técnica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e jurídica, 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 qual demanda um juízo de cognição que, neste momento processual, recomenda cautela superior à permitida por uma análise meramente perfunctória. O objeto da licitação em exame não se limita ao simples fornecimento de bens comuns, mas abrange o fornecimento, a instalação e o comissionamento de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Estações de Tratamento de Água (</w:t>
      </w:r>
      <w:proofErr w:type="spellStart"/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ETAs</w:t>
      </w:r>
      <w:proofErr w:type="spellEnd"/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destinadas à </w:t>
      </w:r>
      <w:proofErr w:type="spellStart"/>
      <w:r w:rsidRPr="00786B81">
        <w:rPr>
          <w:rFonts w:ascii="Arial" w:eastAsia="Times New Roman" w:hAnsi="Arial" w:cs="Arial"/>
          <w:sz w:val="24"/>
          <w:szCs w:val="24"/>
          <w:lang w:eastAsia="pt-BR"/>
        </w:rPr>
        <w:t>desferrização</w:t>
      </w:r>
      <w:proofErr w:type="spellEnd"/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em diversos setores operacionais da Região Metropolitana de Belém. A análise da compatibilidade técnica dos atestados apresentados pela empresa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POLLYCALL COMÉRCIO E SERVIÇOS LTDA.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envolve a verificação de parâmetros específicos de engenharia hidráulica e química, tais como as vazões nominais de 450 m³/h e 225 m³/h, além da adequação de materiais suporte como </w:t>
      </w:r>
      <w:proofErr w:type="spellStart"/>
      <w:r w:rsidRPr="00786B81">
        <w:rPr>
          <w:rFonts w:ascii="Arial" w:eastAsia="Times New Roman" w:hAnsi="Arial" w:cs="Arial"/>
          <w:sz w:val="24"/>
          <w:szCs w:val="24"/>
          <w:lang w:eastAsia="pt-BR"/>
        </w:rPr>
        <w:t>zeólitas</w:t>
      </w:r>
      <w:proofErr w:type="spellEnd"/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naturais e aço carbono ASTM A36.</w:t>
      </w:r>
    </w:p>
    <w:p w:rsidR="00786B81" w:rsidRPr="00786B81" w:rsidRDefault="00786B81" w:rsidP="00786B8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>Nesse contexto, embora a impetrante aponte discrepâncias entre as exigências do Termo de Referência e o conteúdo dos acervos técnicos da vencedora, colacionando Certidões de Acervo Técnico (</w:t>
      </w:r>
      <w:proofErr w:type="spellStart"/>
      <w:r w:rsidRPr="00786B81">
        <w:rPr>
          <w:rFonts w:ascii="Arial" w:eastAsia="Times New Roman" w:hAnsi="Arial" w:cs="Arial"/>
          <w:sz w:val="24"/>
          <w:szCs w:val="24"/>
          <w:lang w:eastAsia="pt-BR"/>
        </w:rPr>
        <w:t>CATs</w:t>
      </w:r>
      <w:proofErr w:type="spellEnd"/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) que registram vazões de 70 a 180 m³/h, é imperioso observar que o próprio edital previu expressamente a aceitação de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múltiplos atestados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para a comprovação da capacidade técnico-operacional. A legalidade ou não do somatório desses documentos para atingir a escala mínima de unidade individual exigida é matéria que reclama a manifestação prévia da autoridade coatora, a fim de que esta esclareça os critérios técnicos que fundamentaram a aceitação da proposta e a manutenção da habilitação em sede de recurso administrativo. O dever de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cautela do magistrado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impõe que não se interfira de forma prematura no cronograma de obras e contratações de uma sociedade de economia mista, especialmente quando o serviço em questão — o tratamento de água — possui natureza essencial e impacto direto na saúde pública e no bem-estar da população dos municípios de Belém, Ananindeua e Marituba.</w:t>
      </w:r>
    </w:p>
    <w:p w:rsidR="00786B81" w:rsidRPr="00786B81" w:rsidRDefault="00786B81" w:rsidP="00786B8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Da mesma forma, as alegações atinentes à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fragilidade econômico-financeira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da litisconsorte passiva e ao suposto descumprimento da cota de aprendizes não autorizam, de imediato, a suspensão do certame sem a oitiva da parte contrária. Se por um lado o balanço patrimonial de 2024 indica a existência de patrimônio líquido negativo, por outro, há registro de alteração contratual prevendo o aumento do capital social para R$ 700.000,00 às vésperas da sessão de abertura. A suficiência desta adequação formal frente às exigências do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subitem 10.23.6 do Edital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deve ser objeto de esclarecimento pela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COSANPA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visto que 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 administração possui o poder-dever de realizar diligências para sanear dúvidas e verificar a veracidade das condições preexistentes dos licitantes. Os documentos de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168416040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168416041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trazem elementos que, embora indiciários, não permitem afastar com segurança a presunção de legitimidade e veracidade do ato administrativo de habilitação sem o exercício do contraditório.</w:t>
      </w:r>
    </w:p>
    <w:p w:rsidR="00786B81" w:rsidRPr="00786B81" w:rsidRDefault="00786B81" w:rsidP="00786B8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Portanto, diante da iminência da assinatura do contrato e do início da execução física das </w:t>
      </w:r>
      <w:proofErr w:type="spellStart"/>
      <w:r w:rsidRPr="00786B81">
        <w:rPr>
          <w:rFonts w:ascii="Arial" w:eastAsia="Times New Roman" w:hAnsi="Arial" w:cs="Arial"/>
          <w:sz w:val="24"/>
          <w:szCs w:val="24"/>
          <w:lang w:eastAsia="pt-BR"/>
        </w:rPr>
        <w:t>ETAs</w:t>
      </w:r>
      <w:proofErr w:type="spellEnd"/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a prudência judiciária orienta que a análise do pedido liminar seja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postergada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para momento posterior à vinda das informações da autoridade impetrada e à oitiva do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Ministério Público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que atua como fiscal da ordem jurídica. Tal medida visa garantir que a tutela jurisdicional seja prestada com base em elementos mais robustos, evitando suspensões desnecessárias que possam comprometer a política pública de saneamento ou causar prejuízos financeiros reversos à Administração Pública. A manutenção do </w:t>
      </w:r>
      <w:r w:rsidRPr="00786B8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status quo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por um curto período adicional, necessário ao cumprimento do rito processual do mandado de segurança, apresenta-se como a solução mais equilibrada para preservar tanto a lisura do certame quanto a continuidade do serviço público.</w:t>
      </w:r>
    </w:p>
    <w:p w:rsidR="00786B81" w:rsidRPr="00786B81" w:rsidRDefault="00786B81" w:rsidP="00786B81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5. DISPOSITIVO E PROVIDÊNCIAS PROCESSUAIS</w:t>
      </w:r>
    </w:p>
    <w:p w:rsidR="00786B81" w:rsidRPr="00786B81" w:rsidRDefault="00786B81" w:rsidP="00786B8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considerando a complexidade técnica do objeto licitado e a necessidade de garantir o contraditório antes de qualquer interferência no cronograma de serviços essenciais de saneamento,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postergo a análise do pedido liminar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formulado na inicial de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168412236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para momento posterior à vinda das informações da autoridade impetrada.</w:t>
      </w:r>
    </w:p>
    <w:p w:rsidR="00786B81" w:rsidRPr="00786B81" w:rsidRDefault="00786B81" w:rsidP="00786B8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>Para o regular prosseguimento do feito, determino as seguintes providências:</w:t>
      </w:r>
    </w:p>
    <w:p w:rsidR="00786B81" w:rsidRPr="00786B81" w:rsidRDefault="00786B81" w:rsidP="00786B8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a) a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notificação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da autoridade apontada como coatora, o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Pregoeiro da COMPANHIA DE SANEAMENTO DO PARÁ — COSANPA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para que, no prazo legal de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10 (dez) dias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preste as informações que entender necessárias, nos termos do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7º, inciso I, da Lei nº 12.016/2009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786B81" w:rsidRPr="00786B81" w:rsidRDefault="00786B81" w:rsidP="00786B8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b) a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ciência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do feito ao órgão de representação judicial da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COMPANHIA DE SANEAMENTO DO PARÁ — COSANPA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enviando-lhe cópia da petição inicial, para que, querendo, ingresse no feito na qualidade de interessada, conforme prevê o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7º, inciso II, da referida Lei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786B81" w:rsidRPr="00786B81" w:rsidRDefault="00786B81" w:rsidP="00786B8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c) a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citação/intimação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 da empresa litisconsorte passiva necessária,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POLLYCALL COMÉRCIO E SERVIÇOS LTDA.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no endereço indicado na 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exordial, para que, no prazo de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10 (dez) dias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>, integre a lide e apresente manifestação, caso possua interesse;</w:t>
      </w:r>
    </w:p>
    <w:p w:rsidR="00786B81" w:rsidRPr="00786B81" w:rsidRDefault="00786B81" w:rsidP="00786B8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d) decorrido o prazo para as informações, com ou sem manifestação das partes, proceda-se à remessa dos autos ao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Ministério Público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para que exare parecer no prazo improrrogável de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10 (dez) dias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, nos moldes do </w:t>
      </w:r>
      <w:r w:rsidRPr="00786B8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12 da Lei nº 12.016/2009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786B81" w:rsidRPr="00786B81" w:rsidRDefault="00786B81" w:rsidP="00786B8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 xml:space="preserve">Com a vinda das informações e o pronunciamento do </w:t>
      </w:r>
      <w:r w:rsidRPr="00786B8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Parquet</w:t>
      </w:r>
      <w:r w:rsidRPr="00786B81">
        <w:rPr>
          <w:rFonts w:ascii="Arial" w:eastAsia="Times New Roman" w:hAnsi="Arial" w:cs="Arial"/>
          <w:sz w:val="24"/>
          <w:szCs w:val="24"/>
          <w:lang w:eastAsia="pt-BR"/>
        </w:rPr>
        <w:t>, façam-se os autos conclusos com urgência para a apreciação da medida liminar.</w:t>
      </w:r>
    </w:p>
    <w:p w:rsidR="00786B81" w:rsidRPr="00786B81" w:rsidRDefault="00786B81" w:rsidP="00786B81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86B81">
        <w:rPr>
          <w:rFonts w:ascii="Arial" w:eastAsia="Times New Roman" w:hAnsi="Arial" w:cs="Arial"/>
          <w:sz w:val="24"/>
          <w:szCs w:val="24"/>
          <w:lang w:eastAsia="pt-BR"/>
        </w:rPr>
        <w:t>Publique-se. Intimem-se. Cumpra-se.</w:t>
      </w:r>
    </w:p>
    <w:p w:rsidR="00A249CE" w:rsidRPr="00786B81" w:rsidRDefault="00A249CE" w:rsidP="00786B8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A249CE" w:rsidRPr="00786B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B81"/>
    <w:rsid w:val="00786B81"/>
    <w:rsid w:val="00A2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C50DC"/>
  <w15:chartTrackingRefBased/>
  <w15:docId w15:val="{5FD8543A-350A-4A78-A91F-775378A9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86B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6B8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86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86B81"/>
    <w:rPr>
      <w:b/>
      <w:bCs/>
    </w:rPr>
  </w:style>
  <w:style w:type="character" w:styleId="nfase">
    <w:name w:val="Emphasis"/>
    <w:basedOn w:val="Fontepargpadro"/>
    <w:uiPriority w:val="20"/>
    <w:qFormat/>
    <w:rsid w:val="00786B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4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2304</Words>
  <Characters>12446</Characters>
  <Application>Microsoft Office Word</Application>
  <DocSecurity>0</DocSecurity>
  <Lines>103</Lines>
  <Paragraphs>29</Paragraphs>
  <ScaleCrop>false</ScaleCrop>
  <Company/>
  <LinksUpToDate>false</LinksUpToDate>
  <CharactersWithSpaces>14721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2026-05-01T21:50:00Z</dcterms:created>
  <dcterms:modified xsi:type="dcterms:W3CDTF">2026-05-01T21:51:00Z</dcterms:modified>
</cp:coreProperties>
</file>