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163" w:rsidRPr="00052163" w:rsidRDefault="00052163" w:rsidP="00052163">
      <w:pPr>
        <w:spacing w:after="5" w:line="276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0802536-81.2023.8.14.0097</w:t>
      </w:r>
    </w:p>
    <w:p w:rsidR="00052163" w:rsidRDefault="00052163" w:rsidP="00052163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SENTENÇA</w:t>
      </w:r>
    </w:p>
    <w:p w:rsidR="00052163" w:rsidRPr="00052163" w:rsidRDefault="00052163" w:rsidP="00052163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052163" w:rsidRPr="00052163" w:rsidRDefault="00052163" w:rsidP="0005216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Embargos à Execução</w:t>
      </w: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opostos por </w:t>
      </w: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Açaí World </w:t>
      </w:r>
      <w:proofErr w:type="gramStart"/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Agro Indústria</w:t>
      </w:r>
      <w:proofErr w:type="gramEnd"/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Ltda. - ME</w:t>
      </w: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Mauro de Souza Pereira</w:t>
      </w: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em face da execução de título extrajudicial promovida pelo </w:t>
      </w: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da Amazônia S.A. (BASA)</w:t>
      </w:r>
      <w:r w:rsidRPr="00052163">
        <w:rPr>
          <w:rFonts w:ascii="Arial" w:eastAsia="Times New Roman" w:hAnsi="Arial" w:cs="Arial"/>
          <w:sz w:val="24"/>
          <w:szCs w:val="24"/>
          <w:lang w:eastAsia="pt-BR"/>
        </w:rPr>
        <w:t>, autuada sob o nº 0800206-19.2020.8.14.0097 (ID 101360175).</w:t>
      </w:r>
    </w:p>
    <w:p w:rsidR="00DC377E" w:rsidRDefault="00052163" w:rsidP="0005216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Os embargantes alegaram, preliminarmente:</w:t>
      </w:r>
    </w:p>
    <w:p w:rsidR="00DC377E" w:rsidRPr="00DC377E" w:rsidRDefault="00DC377E" w:rsidP="00DC377E">
      <w:pPr>
        <w:pStyle w:val="PargrafodaLista"/>
        <w:numPr>
          <w:ilvl w:val="0"/>
          <w:numId w:val="1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 xml:space="preserve"> incompetência territorial do Juízo de Benevides, apontando a Comarca de Belém como o foro de eleição contratual;</w:t>
      </w:r>
    </w:p>
    <w:p w:rsidR="00DC377E" w:rsidRDefault="00DC377E" w:rsidP="00DC377E">
      <w:pPr>
        <w:pStyle w:val="PargrafodaLista"/>
        <w:numPr>
          <w:ilvl w:val="0"/>
          <w:numId w:val="1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 xml:space="preserve"> nulidade da citação por edital realizada no processo de execução, sustentando que a empresa sempre funcionou no mesmo endereço e que não foram esgotados os meios de localização pessoal dos devedores;</w:t>
      </w:r>
    </w:p>
    <w:p w:rsidR="00052163" w:rsidRPr="00DC377E" w:rsidRDefault="00DC377E" w:rsidP="00DC377E">
      <w:pPr>
        <w:pStyle w:val="PargrafodaLista"/>
        <w:numPr>
          <w:ilvl w:val="0"/>
          <w:numId w:val="1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 xml:space="preserve"> necessidade de concessão dos benefícios da gratuidade de justiça.</w:t>
      </w:r>
    </w:p>
    <w:p w:rsidR="00DC377E" w:rsidRDefault="00052163" w:rsidP="00052163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No mérito, sustentaram:</w:t>
      </w:r>
    </w:p>
    <w:p w:rsidR="00DC377E" w:rsidRPr="00DC377E" w:rsidRDefault="00DC377E" w:rsidP="00DC377E">
      <w:pPr>
        <w:pStyle w:val="PargrafodaLista"/>
        <w:numPr>
          <w:ilvl w:val="0"/>
          <w:numId w:val="2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 xml:space="preserve"> ocorrência de excesso de garantia e de execução, aduzindo que os bens dados em garantia real (hipoteca e alienação fiduciária) superam o montante da dívida executada;</w:t>
      </w:r>
    </w:p>
    <w:p w:rsidR="00DC377E" w:rsidRDefault="00DC377E" w:rsidP="00DC377E">
      <w:pPr>
        <w:pStyle w:val="PargrafodaLista"/>
        <w:numPr>
          <w:ilvl w:val="0"/>
          <w:numId w:val="2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 xml:space="preserve"> inexigibilidade do título executivo com base na exceção do contrato não cumprido (</w:t>
      </w:r>
      <w:proofErr w:type="spellStart"/>
      <w:r w:rsidR="00052163" w:rsidRPr="00DC377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exceptio</w:t>
      </w:r>
      <w:proofErr w:type="spellEnd"/>
      <w:r w:rsidR="00052163" w:rsidRPr="00DC377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non </w:t>
      </w:r>
      <w:proofErr w:type="spellStart"/>
      <w:r w:rsidR="00052163" w:rsidRPr="00DC377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adimpleti</w:t>
      </w:r>
      <w:proofErr w:type="spellEnd"/>
      <w:r w:rsidR="00052163" w:rsidRPr="00DC377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spellStart"/>
      <w:r w:rsidR="00052163" w:rsidRPr="00DC377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contractus</w:t>
      </w:r>
      <w:proofErr w:type="spellEnd"/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>), argumentando que a instituição financeira reteve injustificadamente as parcelas destinadas ao capital de giro, inviabilizando o início das atividades da fábrica;</w:t>
      </w:r>
    </w:p>
    <w:p w:rsidR="00DC377E" w:rsidRDefault="00DC377E" w:rsidP="00DC377E">
      <w:pPr>
        <w:pStyle w:val="PargrafodaLista"/>
        <w:numPr>
          <w:ilvl w:val="0"/>
          <w:numId w:val="2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>excesso de execução, apresentando parecer técnico contábil que recalcula o débito para o valor de R$ 8.500.033,94;</w:t>
      </w:r>
    </w:p>
    <w:p w:rsidR="00052163" w:rsidRPr="00DC377E" w:rsidRDefault="00DC377E" w:rsidP="00DC377E">
      <w:pPr>
        <w:pStyle w:val="PargrafodaLista"/>
        <w:numPr>
          <w:ilvl w:val="0"/>
          <w:numId w:val="2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 xml:space="preserve"> possibilidade de substituição das constrições financeiras por cartas de fiança emitidas pelas empresas </w:t>
      </w:r>
      <w:proofErr w:type="spellStart"/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>Dank</w:t>
      </w:r>
      <w:proofErr w:type="spellEnd"/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 xml:space="preserve"> Sociedade de Crédito Direto S.A. e </w:t>
      </w:r>
      <w:proofErr w:type="spellStart"/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>Infinite</w:t>
      </w:r>
      <w:proofErr w:type="spellEnd"/>
      <w:r w:rsidR="00052163" w:rsidRPr="00DC377E">
        <w:rPr>
          <w:rFonts w:ascii="Arial" w:eastAsia="Times New Roman" w:hAnsi="Arial" w:cs="Arial"/>
          <w:sz w:val="24"/>
          <w:szCs w:val="24"/>
          <w:lang w:eastAsia="pt-BR"/>
        </w:rPr>
        <w:t xml:space="preserve"> Bank S.A., no valor de R$ 9.000.000,00.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O Juízo da 2ª Vara Cível e Empresarial de Benevides deferiu o pedido de efeito suspensivo e determinou o desbloqueio das contas bancárias dos embargantes (ID 101455044). 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O embargado apresentou impugnação (ID 103354014), sustentando a tempestividade de sua manifestação e rebatendo as preliminares. No mérito, defendeu a regularidade do título e da citação 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editalícia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, asseverando que os devedores se ocultaram de forma reiterada. Afirmou que a liberação do capital de giro foi legitimamente suspensa em razão do descumprimento de obrigações físicas e documentais pelos devedores, constatado em vistorias técnicas. Impugnou a idoneidade das cartas de fiança ofertadas, demonstrando que a emissora 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Infinite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Bank S/A não é instituição financeira autorizada pelo Banco Central do Brasil e que o capital social da 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Dank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S/A é incompatível com a garantia. Juntou documentos (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103354019 a 103354023).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o embargado noticiou que a 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Infinite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Bank S/A cancelou a carta de fiança nº 7076-01 por falta de pagamento do prêmio pelos embargantes (ID 110495927 e ID 110504438).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Juízo da 2ª Vara Cível e Empresarial de Benevides acolheu a preliminar de incompetência territorial e determinou a redistribuição dos autos à Comarca de Belém (ID 109291116). Os autos foram recebidos e distribuídos a este Juízo da 11ª Vara Cível e Empresarial de Belém (ID 109575668).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 embargado noticiou o julgamento definitivo do Agravo de Instrumento nº 0817024-41.2023.8.14.0000 pelo Tribunal de Justiça do Estado do Pará, que deu provimento ao recurso do banco para revogar o efeito suspensivo anteriormente concedido aos embargos, diante da manifesta inidoneidade da fiança ofertada (ID 143030055 e ID 143030084).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Instadas as partes a se manifestarem sobre eventual interesse em conciliação (ID 134080797), o embargado peticionou demonstrando a impossibilidade de acordo e requerendo o julgamento de mérito (ID 135465961). Os embargantes apresentaram réplica (ID 107489071).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Os autos vieram conclusos.</w:t>
      </w:r>
    </w:p>
    <w:p w:rsidR="00052163" w:rsidRPr="00052163" w:rsidRDefault="00052163" w:rsidP="00052163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 processo comporta julgamento antecipado do mérito, nos termos do art. 355, I, do Código de Processo Civil, haja vista que as provas documentais encartadas nos autos são suficientes para o esclarecimento da controvérsia fática, restando apenas matérias de direito a serem decididas.</w:t>
      </w:r>
    </w:p>
    <w:p w:rsidR="00052163" w:rsidRPr="00052163" w:rsidRDefault="00052163" w:rsidP="00052163">
      <w:pPr>
        <w:spacing w:after="5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Das Preliminares</w:t>
      </w:r>
    </w:p>
    <w:p w:rsidR="00052163" w:rsidRPr="00052163" w:rsidRDefault="00052163" w:rsidP="00052163">
      <w:pPr>
        <w:spacing w:after="5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2.1.1. Da Gratuidade de Justiça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A concessão da gratuidade de justiça a pessoas jurídicas exige a comprovação efetiva da impossibilidade de arcar com os encargos processuais, conforme dispõe a Súmula nº 481 do Superior Tribunal de Justiça.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No caso concreto, os balancetes e demonstrações de resultado apresentados (ID 103355690) atestam que a empresa devedora não registrou faturamento operacional no período de implantação, sofrendo, ademais, bloqueios judiciais em suas contas correntes (ID 99638359). O devedor pessoa física também demonstrou indisponibilidade de ativos financeiros livres. Por conseguinte, </w:t>
      </w: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mantém-se o deferimento da gratuidade de justiça</w:t>
      </w: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aos embargantes.</w:t>
      </w:r>
    </w:p>
    <w:p w:rsidR="00052163" w:rsidRPr="00052163" w:rsidRDefault="00052163" w:rsidP="00052163">
      <w:pPr>
        <w:spacing w:after="5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2.1.2. Da Incompetência do Juízo</w:t>
      </w:r>
    </w:p>
    <w:p w:rsidR="00052163" w:rsidRPr="00052163" w:rsidRDefault="00052163" w:rsidP="00DC377E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Esta matéria restou preclusa e superada com a decisão proferida pelo Juízo da 2ª Vara Cível e Empresarial de Benevides (ID 109291116), que declinou da competência para este foro de Belém/PA, onde os autos foram regularmente distribuídos e recebidos (ID 109575668).</w:t>
      </w:r>
    </w:p>
    <w:p w:rsidR="00052163" w:rsidRPr="00052163" w:rsidRDefault="00052163" w:rsidP="00052163">
      <w:pPr>
        <w:spacing w:after="5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2.1.3. Da Nulidade de Citação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Os embargantes sustentaram que a citação 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editalícia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realizada na ação de execução fiscal é nula, sob o argumento de que possuíam endereço certo e conhecido.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Sem razão. O exame minucioso dos autos da execução revela que foram realizadas inúmeras tentativas de citação pessoal dos devedores (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21784333, 34595786, 40509685, 47172474 e 58761355), inclusive com pesquisas nos sistemas informatizados do Juízo (INFOJUD — ID 48807611). Os oficiais de justiça certificaram repetidamente que a empresa não funcionava no endereço </w:t>
      </w:r>
      <w:r w:rsidRPr="00052163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contratual e que o sócio Mauro de Souza Pereira </w:t>
      </w:r>
      <w:proofErr w:type="gram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encontrava-se</w:t>
      </w:r>
      <w:proofErr w:type="gram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constantemente em local desconhecido, omitindo-se em receber as notificações.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Ademais, nos termos do art. 239, § 1º, do Código de Processo Civil, o comparecimento espontâneo do réu ou do executado supre a falta ou a nulidade da citação. Ao oporem os presentes Embargos à Execução, os devedores integraram a relação processual de forma plena, exercendo a ampla defesa e o contraditório, o que afasta qualquer alegação de prejuízo e sana eventual vício de citação. </w:t>
      </w: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Rejeita-se, pois, a preliminar.</w:t>
      </w:r>
    </w:p>
    <w:p w:rsidR="00052163" w:rsidRPr="00052163" w:rsidRDefault="00052163" w:rsidP="00052163">
      <w:pPr>
        <w:spacing w:after="5" w:line="276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Do Mérito</w:t>
      </w:r>
    </w:p>
    <w:p w:rsidR="00052163" w:rsidRPr="00052163" w:rsidRDefault="00052163" w:rsidP="00052163">
      <w:pPr>
        <w:spacing w:after="5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2.2.1. Da Exceção do Contrato Não Cumprido e da Exigibilidade do Título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Os embargantes sustentaram que a Cédula de Crédito Bancário nº 158-16/0001-9 (ID 101360186) carece de exigibilidade e liquidez porque o banco embargado teria descumprido a obrigação de liberar tempestivamente os recursos de capital de giro contratados.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 princípio da exceção do contrato não cumprido, positivado no art. 476 do Código Civil, estabelece que, nos contratos bilaterais, nenhum dos contratantes, antes de cumprida a sua obrigação, pode exigir o implemento da do outro.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Contudo, a liberação de recursos em operações de crédito industrial com repasses do Fundo Constitucional de Financiamento do Norte (FNO) não é incondicional. A Cláusula Segunda da Cédula de Crédito Bancária (ID 101360186 - Pág. 1) condiciona os desembolsos posteriores à primeira parcela à comprovação da correta aplicação dos valores anteriormente liberados, mediante vistorias técnicas do banco, bem como à inexistência de restrições cadastrais.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Os documentos apresentados pelo embargado demonstram que, em vistoria técnica realizada em maio de 2018 (ID 101368403), a obra física do empreendimento estava inacabada (91% de conclusão), restando pendentes a finalização de prédios essenciais ao fluxo industrial (fábrica de açaí, caldeira, reservatório de água e estação de tratamento de efluentes), além da não apresentação de alvará de construção vigente.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Os e-mails e relatórios de acompanhamento de ID 103355690 comprovam que a própria embargante reconheceu atrasos em seu cronograma físico decorrentes de problemas com seus empreiteiros, solicitando dilação de carência. O Relatório de Acompanhamento de Crédito (RAC) datado de agosto de 2019 (ID 103355690 - Pág. 1) constatou que, mesmo após a liberação parcial de verbas de giro, a fábrica operava com apenas 10% de sua capacidade e apresentava faturamento nulo, em descumprimento às projeções econômicas e obrigações de seguro das garantias.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Dessa forma, resta evidente que o atraso ou a retenção de parcelas pelo banco pautou-se no legítimo exercício de direito contratual, decorrente do inadimplemento prévio das etapas físicas e documentais que competiam aos mutuários. Não se pode imputar mora ao credor quando o atraso no desembolso decorre de culpa exclusiva dos devedores que descumpriram as metas físicas do projeto financiado.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Portanto, afasta-se a aplicação do art. 476 do Código Civil em favor dos embargantes, restando hígida a liquidez, certeza e exigibilidade da Cédula de Crédito Bancário, a qual constitui título executivo extrajudicial idôneo (art. 784, XII, do CPC, e art. 28 da Lei nº 10.931/2004).</w:t>
      </w:r>
    </w:p>
    <w:p w:rsidR="00052163" w:rsidRPr="00052163" w:rsidRDefault="00052163" w:rsidP="00052163">
      <w:pPr>
        <w:spacing w:after="5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2.2.2. Do Excesso de Execução e do Parecer Técnico Contábil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Os embargantes apontaram excesso de execução com amparo em parecer técnico contábil (ID 101365981), que realizou o recálculo do débito com base na exclusão de encargos moratórios, sob a premissa de que a mora teria sido causada pelo banco.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Como decido no tópico anterior, a mora decorreu exclusivamente de conduta omissiva dos próprios devedores, que não preencheram os requisitos para a liberação integral das parcelas. Por conseguinte, a incidência dos encargos financeiros de normalidade e de impontualidade pactuados na Cédula de Crédito Bancária e em seus aditivos (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101363447, 101363451 e 101363452) é perfeitamente legal e exigível.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 demonstrativo de cálculo apresentado pelo credor na petição inicial da execução preenche todos os requisitos do art. 28, § 2º, I, da Lei nº 10.931/2004, especificando de forma clara a evolução do saldo devedor e os encargos aplicados, não havendo falar em cobrança abusiva ou excessiva.</w:t>
      </w:r>
    </w:p>
    <w:p w:rsidR="00052163" w:rsidRPr="00052163" w:rsidRDefault="00052163" w:rsidP="00052163">
      <w:pPr>
        <w:spacing w:after="5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2.2.3. Do Excesso de Garantia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Os embargantes sustentaram que a penhora de contas correntes é excessiva diante das garantias reais vinculadas à cédula de crédito (imóvel e maquinários).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A alegação de excesso de garantia ou de penhora não afeta a liquidez do título nem a validade da execução, devendo ser arguida por simples petição nos autos do processo de execução, nos termos do art. 874 do Código de Processo Civil, após a avaliação formal dos bens.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Ademais, os ativos financeiros </w:t>
      </w:r>
      <w:proofErr w:type="gram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bloqueados via</w:t>
      </w:r>
      <w:proofErr w:type="gram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SISBAJUD foram integralmente liberados pelo Juízo de origem (ID 101447327) por força de decisão liminar posteriormente cassada, inexistindo, no momento, duplicidade de constrições apta a caracterizar prejuízo desarrazoado aos devedores.</w:t>
      </w:r>
    </w:p>
    <w:p w:rsidR="00052163" w:rsidRPr="00052163" w:rsidRDefault="00052163" w:rsidP="00052163">
      <w:pPr>
        <w:spacing w:after="5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2.2.4. Da Substituição de Penhora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A pretensão de substituição das constrições financeiras e do imóvel pelas cartas de fiança emitidas pelas empresas 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Dank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S/A e 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Infinite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Bank S/A restou definitivamente rejeitada.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 Tribunal de Justiça do Estado do Pará, ao julgar o Agravo de Instrumento nº 0817024-41.2023.8.14.0000 (ID 143030084), firmou o entendimento de que a carta de fiança emitida por empresa que não ostenta autorização de funcionamento outorgada pelo Banco Central do Brasil não equivale à fiança bancária prevista no art. 835, § 2º, do CPC, tratando-se de garantia inidônea.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Soma-se a isso o fato incontroverso de que a própria emitente </w:t>
      </w:r>
      <w:proofErr w:type="spellStart"/>
      <w:r w:rsidRPr="00052163">
        <w:rPr>
          <w:rFonts w:ascii="Arial" w:eastAsia="Times New Roman" w:hAnsi="Arial" w:cs="Arial"/>
          <w:sz w:val="24"/>
          <w:szCs w:val="24"/>
          <w:lang w:eastAsia="pt-BR"/>
        </w:rPr>
        <w:t>Infinite</w:t>
      </w:r>
      <w:proofErr w:type="spellEnd"/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Bank S/A cancelou formalmente a carta de fiança nº 7076-01 por inadimplemento dos devedores quanto ao pagamento do prêmio correspondente (ID 110504438). Logo, resta prejudicada e improcedente qualquer pretensão de garantia do juízo por meio de tais instrumentos.</w:t>
      </w:r>
    </w:p>
    <w:p w:rsidR="00052163" w:rsidRPr="00052163" w:rsidRDefault="00052163" w:rsidP="00052163">
      <w:pPr>
        <w:spacing w:after="5" w:line="276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2.2.5. Da Litigância de Má-Fé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O embargado requereu a condenação dos devedores por litigância de má-fé, apontando conduta temerária e tentativa de induzir o juízo a erro com a apresentação de minutas e cartas de fiança inidôneas que foram canceladas no curso da demanda.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A despeito da inidoneidade da garantia ofertada, que ensejou a reforma da decisão liminar em segundo grau, não se vislumbra dolo processual ou intuito deliberadamente fraudulento apto a caracterizar as condutas típicas do art. 80 do CPC. O oferecimento de garantias posteriormente rejeitadas insere-se no limite do direito de defesa e do debate sobre a idoneidade financeira dos instrumentos, inexistindo má-fé processual a justificar a sanção.</w:t>
      </w:r>
    </w:p>
    <w:p w:rsidR="00052163" w:rsidRPr="00052163" w:rsidRDefault="00052163" w:rsidP="00052163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052163" w:rsidRPr="00052163" w:rsidRDefault="00052163" w:rsidP="00F62C54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os presentes Embargos à Execução opostos por </w:t>
      </w: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Açaí World </w:t>
      </w:r>
      <w:proofErr w:type="gramStart"/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Agro Indústria</w:t>
      </w:r>
      <w:proofErr w:type="gramEnd"/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Ltda. - ME</w:t>
      </w: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Mauro de Souza Pereira</w:t>
      </w:r>
      <w:r w:rsidRPr="00052163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05216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da Amazônia S.A. (BASA)</w:t>
      </w:r>
      <w:r w:rsidRPr="00052163">
        <w:rPr>
          <w:rFonts w:ascii="Arial" w:eastAsia="Times New Roman" w:hAnsi="Arial" w:cs="Arial"/>
          <w:sz w:val="24"/>
          <w:szCs w:val="24"/>
          <w:lang w:eastAsia="pt-BR"/>
        </w:rPr>
        <w:t>, extinguindo o processo com resolução de mérito, nos termos do art. 487, I, do Código de Processo Civil.</w:t>
      </w:r>
    </w:p>
    <w:p w:rsidR="00052163" w:rsidRPr="00052163" w:rsidRDefault="00052163" w:rsidP="00C2305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Em consequência, determino o regular prosseguimento da Ação de Execução nº 0800206-19.2020.8.14.0097. Certifique-se o teor desta decisão nos referidos autos executivos.</w:t>
      </w:r>
    </w:p>
    <w:p w:rsidR="00052163" w:rsidRPr="00052163" w:rsidRDefault="00052163" w:rsidP="00C2305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Em razão da sucumbência, condeno os embargantes ao pagamento das custas processuais e dos honorários advocatícios, os quais arbitro em 10% (dez por cento) sobre o valor atualizado da causa, com fulcro no art. 85, § 2º, do CPC. Fica, contudo, suspensa a exigibilidade de tais parcelas, nos termos do art. 98, § 3º, do CPC, por serem os embargantes beneficiários da gratuidade de justiça.</w:t>
      </w:r>
    </w:p>
    <w:p w:rsidR="00052163" w:rsidRPr="00052163" w:rsidRDefault="00052163" w:rsidP="00C2305B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2163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bookmarkEnd w:id="0"/>
    <w:p w:rsidR="007B5610" w:rsidRPr="00052163" w:rsidRDefault="007B5610" w:rsidP="00052163">
      <w:pPr>
        <w:spacing w:after="5" w:line="276" w:lineRule="auto"/>
        <w:jc w:val="both"/>
        <w:rPr>
          <w:rFonts w:ascii="Arial" w:hAnsi="Arial" w:cs="Arial"/>
          <w:sz w:val="24"/>
          <w:szCs w:val="24"/>
        </w:rPr>
      </w:pPr>
    </w:p>
    <w:sectPr w:rsidR="007B5610" w:rsidRPr="000521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6A02"/>
    <w:multiLevelType w:val="hybridMultilevel"/>
    <w:tmpl w:val="7B18BC8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F3618"/>
    <w:multiLevelType w:val="hybridMultilevel"/>
    <w:tmpl w:val="E9D66E6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163"/>
    <w:rsid w:val="00052163"/>
    <w:rsid w:val="007B5610"/>
    <w:rsid w:val="00C2305B"/>
    <w:rsid w:val="00DC377E"/>
    <w:rsid w:val="00F6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32E90"/>
  <w15:chartTrackingRefBased/>
  <w15:docId w15:val="{CA6F247B-7F89-4DFE-9EA2-97622C9F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521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521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521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216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5216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5216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52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52163"/>
    <w:rPr>
      <w:b/>
      <w:bCs/>
    </w:rPr>
  </w:style>
  <w:style w:type="character" w:styleId="nfase">
    <w:name w:val="Emphasis"/>
    <w:basedOn w:val="Fontepargpadro"/>
    <w:uiPriority w:val="20"/>
    <w:qFormat/>
    <w:rsid w:val="00052163"/>
    <w:rPr>
      <w:i/>
      <w:iCs/>
    </w:rPr>
  </w:style>
  <w:style w:type="paragraph" w:styleId="PargrafodaLista">
    <w:name w:val="List Paragraph"/>
    <w:basedOn w:val="Normal"/>
    <w:uiPriority w:val="34"/>
    <w:qFormat/>
    <w:rsid w:val="00DC37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3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2002</Words>
  <Characters>10815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2026-05-20T16:07:00Z</dcterms:created>
  <dcterms:modified xsi:type="dcterms:W3CDTF">2026-05-20T16:35:00Z</dcterms:modified>
</cp:coreProperties>
</file>