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443E" w:rsidRPr="0093443E" w:rsidRDefault="0093443E" w:rsidP="008408F7">
      <w:pPr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bCs/>
          <w:sz w:val="24"/>
          <w:szCs w:val="24"/>
          <w:lang w:eastAsia="pt-BR"/>
        </w:rPr>
        <w:t>PROCESSO Nº 0699689-15.2016.8.14.0301</w:t>
      </w:r>
    </w:p>
    <w:p w:rsidR="0093443E" w:rsidRPr="0093443E" w:rsidRDefault="0093443E" w:rsidP="008408F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 DOS EMBARGOS DE DECLARAÇÃO</w:t>
      </w:r>
    </w:p>
    <w:p w:rsidR="0093443E" w:rsidRPr="0093443E" w:rsidRDefault="0093443E" w:rsidP="008408F7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RELATÓRIO</w:t>
      </w:r>
    </w:p>
    <w:p w:rsidR="0093443E" w:rsidRPr="0093443E" w:rsidRDefault="0093443E" w:rsidP="008408F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A presente demanda teve início em novembro de 2016, quando a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COOPERFORTE - COOPERATIVA DE ECONOMIA E CRÉDITO MÚTUO DOS FUNCIONÁRIOS DE INSTITUIÇÕES FINANCEIRAS PÚBLICAS FEDERAIS LTDA.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ingressou com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Monitória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MARCELO DE AZEVEDO FELIPE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, pretendendo a constituição de título executivo judicial relativo a obrigações contratuais inadimplentes que, à época da exordial, perfaziam o montante de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R$ 25.994,65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(vinte e cinco mil, novecentos e noventa e quatro reais e sessenta e cinco centavos) . O histórico processual revela um longo interregno de tramitação, marcado por sucessivas tentativas de localização da parte requerida em diferentes endereços e comarcas, incluindo Belém (PA), Taguatinga (DF) e Aparecida de Goiânia (GO</w:t>
      </w:r>
      <w:proofErr w:type="gramStart"/>
      <w:r w:rsidRPr="0093443E">
        <w:rPr>
          <w:rFonts w:ascii="Arial" w:eastAsia="Times New Roman" w:hAnsi="Arial" w:cs="Arial"/>
          <w:sz w:val="24"/>
          <w:szCs w:val="24"/>
          <w:lang w:eastAsia="pt-BR"/>
        </w:rPr>
        <w:t>) .</w:t>
      </w:r>
      <w:proofErr w:type="gramEnd"/>
    </w:p>
    <w:p w:rsidR="0093443E" w:rsidRPr="0093443E" w:rsidRDefault="0093443E" w:rsidP="008408F7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bookmarkEnd w:id="0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Sobreveio a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 de ID 170100029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, na qual este Juízo, após constatar que o processo tramitava há quase uma década sem o aperfeiçoamento da relação processual, decidiu pela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extinção do feito sem resolução de mérito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, com fundamento no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485, inciso IV, do Código de Processo Civil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. Em sua fundamentação, o </w:t>
      </w:r>
      <w:r w:rsidRPr="0093443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decisum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consignou que a citação é pressuposto indispensável para o desenvolvimento válido do processo e que a dificuldade de localização do devedor representaria um risco inerente à atividade econômica da instituição financeira embargante, não cabendo ao Poder Judiciário atuar como órgão de investigação particular para suprir deficiências cadastrais do </w:t>
      </w:r>
      <w:proofErr w:type="gramStart"/>
      <w:r w:rsidRPr="0093443E">
        <w:rPr>
          <w:rFonts w:ascii="Arial" w:eastAsia="Times New Roman" w:hAnsi="Arial" w:cs="Arial"/>
          <w:sz w:val="24"/>
          <w:szCs w:val="24"/>
          <w:lang w:eastAsia="pt-BR"/>
        </w:rPr>
        <w:t>credor .</w:t>
      </w:r>
      <w:proofErr w:type="gramEnd"/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Inconformada, a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COOPERFORTE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opôs os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Embargos de Declaração de ID 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170838192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,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sustentando a existência de vícios de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omissão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contradição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no julgado. Em suas razões, a embargante aponta que a sentença foi omissa ao deixar de apreciar o pedido expresso de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citação por edital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formulado no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158112566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,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protocolado após o esgotamento das diligências ordinárias e das pesquisas nos sistemas auxiliares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SISBAJUD, INFOJUD, SIEL e INFOSEG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. Além disso, sustenta haver contradição lógica interna, uma vez que a própria decisão reconhece o exaurimento de diversas tentativas de </w:t>
      </w:r>
      <w:proofErr w:type="gramStart"/>
      <w:r w:rsidRPr="0093443E">
        <w:rPr>
          <w:rFonts w:ascii="Arial" w:eastAsia="Times New Roman" w:hAnsi="Arial" w:cs="Arial"/>
          <w:sz w:val="24"/>
          <w:szCs w:val="24"/>
          <w:lang w:eastAsia="pt-BR"/>
        </w:rPr>
        <w:t>citação ,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mas conclui pela inércia ou falta de diligência da parte autora .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embargante aduz, ainda, que a extinção abrupta do feito violou 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dever de saneamento e prevenção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, pois não lhe foi concedida oportunidade prévia para corrigir eventuais vícios ou complementar diligências específicas antes da decisão terminativa, o que afrontaria a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primazia do julgamento de mérito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e o princípio da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não 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surpresa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.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Ao final, pugna pelo conhecimento e provimento dos </w:t>
      </w:r>
      <w:proofErr w:type="spellStart"/>
      <w:r w:rsidRPr="0093443E">
        <w:rPr>
          <w:rFonts w:ascii="Arial" w:eastAsia="Times New Roman" w:hAnsi="Arial" w:cs="Arial"/>
          <w:sz w:val="24"/>
          <w:szCs w:val="24"/>
          <w:lang w:eastAsia="pt-BR"/>
        </w:rPr>
        <w:t>aclaratórios</w:t>
      </w:r>
      <w:proofErr w:type="spell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, com a atribuição de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efeitos infringentes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, para que a sentença seja anulada e o processo retome seu curso regular, com o deferimento da citação </w:t>
      </w:r>
      <w:proofErr w:type="spellStart"/>
      <w:proofErr w:type="gramStart"/>
      <w:r w:rsidRPr="0093443E">
        <w:rPr>
          <w:rFonts w:ascii="Arial" w:eastAsia="Times New Roman" w:hAnsi="Arial" w:cs="Arial"/>
          <w:sz w:val="24"/>
          <w:szCs w:val="24"/>
          <w:lang w:eastAsia="pt-BR"/>
        </w:rPr>
        <w:t>editalícia</w:t>
      </w:r>
      <w:proofErr w:type="spell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.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Vieram os autos conclusos para decisão.</w:t>
      </w:r>
    </w:p>
    <w:p w:rsidR="0093443E" w:rsidRPr="0093443E" w:rsidRDefault="0093443E" w:rsidP="008408F7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FUNDAMENTAÇÃO</w:t>
      </w:r>
    </w:p>
    <w:p w:rsidR="0093443E" w:rsidRPr="0093443E" w:rsidRDefault="0093443E" w:rsidP="008408F7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3.1. ADMISSIBILIDADE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>Antes de adentrar na análise da matéria devolvida a este juízo pela via recursal, cumpre verificar o preenchimento dos pressupostos intrínsecos e extrínsecos de admissibilidade, garantindo que a via eleita pela parte interessada atenda aos ditames rigorosos da norma processual civil. O exame da admissibilidade é condição de procedibilidade para que o órgão julgador possa, validamente, exercer a cognição sobre o mérito das razões apresentadas, sendo regido, no caso dos embargos de declaração, por regramento específico que visa à celeridade e à integridade da prestação jurisdicional.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No tocante à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tempestividade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, elemento extrínseco essencial, observa-se que a sentença de extinção foi proferida e integrada ao sistema em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03/03/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2026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,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tendo a intimação da parte autora ocorrido mediante leitura eletrônica em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04/03/2026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. Segundo a sistemática processual adotada pelo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artigo 1.023 do Código de Processo 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Civil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,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o prazo para a oposição de embargos de declaração é de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05 (cinco) dias úteis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, não se sujeitando a preparo recursal. Em observância ao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artigo 219 do Código de Processo 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Civil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,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que determina a contagem exclusiva de dias úteis, o prazo recursal iniciou-se em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05/03/2026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, com termo final fixado para o dia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11/03/2026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. Diante do protocolo da peça de embargos no sistema </w:t>
      </w:r>
      <w:proofErr w:type="spellStart"/>
      <w:r w:rsidRPr="0093443E">
        <w:rPr>
          <w:rFonts w:ascii="Arial" w:eastAsia="Times New Roman" w:hAnsi="Arial" w:cs="Arial"/>
          <w:sz w:val="24"/>
          <w:szCs w:val="24"/>
          <w:lang w:eastAsia="pt-BR"/>
        </w:rPr>
        <w:t>PJe</w:t>
      </w:r>
      <w:proofErr w:type="spell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na data de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11/03/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2026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,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resta inequivocamente demonstrada a observância do requisito temporal, restando o recurso tempestivo.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Quanto à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adequação formal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, os embargos de declaração possuem fundamentação vinculada, sendo admitidos apenas nas hipóteses restritas de obscuridade, contradição, omissão ou erro material, conforme a taxatividade prevista no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artigo 1.022 do Código de Processo 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Civil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.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No caso em tela, a 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embargante fundamenta sua pretensão na suposta ocorrência de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omissão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quanto à análise do pedido de citação por edital e de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contradição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interna no julgado quanto à valoração das diligências citatórias já efetuadas. Tendo em vista que as razões recursais indicam, com clareza e precisão, os pontos da decisão que, na ótica da recorrente, padecem desses vícios, o recurso apresenta-se formalmente apto, preenchendo o requisito da regularidade formal. Portanto, não havendo outros óbices processuais, o recurso deve ser conhecido para que seu conteúdo seja devidamente apreciado.</w:t>
      </w:r>
    </w:p>
    <w:p w:rsidR="0093443E" w:rsidRPr="0093443E" w:rsidRDefault="0093443E" w:rsidP="008408F7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3.2. INEXISTÊNCIA DE OMISSÃO E CONTRADIÇÃO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No mérito recursal, a análise detida da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 de ID 170100029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em confronto com as razões dos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embargos de declaração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revela que não subsistem os vícios apontados pela parte embargante. O instituto dos </w:t>
      </w:r>
      <w:proofErr w:type="spellStart"/>
      <w:r w:rsidRPr="0093443E">
        <w:rPr>
          <w:rFonts w:ascii="Arial" w:eastAsia="Times New Roman" w:hAnsi="Arial" w:cs="Arial"/>
          <w:sz w:val="24"/>
          <w:szCs w:val="24"/>
          <w:lang w:eastAsia="pt-BR"/>
        </w:rPr>
        <w:t>aclaratórios</w:t>
      </w:r>
      <w:proofErr w:type="spell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, conforme delimitado pelo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artigo 1.022 do Código de Processo 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Civil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,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destina-se exclusivamente a corrigir defeitos lógicos ou estruturais da decisão, não se prestando a revisar o acerto ou desacerto do julgamento ou a rediscutir teses jurídicas já enfrentadas, ainda que de forma implícita ou contrária aos interesses do recorrente.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Quanto à alegada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omissão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relativa ao pedido de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citação por edital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formulado no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158112566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,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observa-se que o Juízo não apenas mencionou expressamente tal pleito em seu relatório , como também dedicou capítulo específico da fundamentação para explicar a inviabilidade de seu acolhimento no caso concreto. A decisão assentou que a citação ficta é medida excepcional que não deve ser utilizada como um "atalho" para validar processos oriundos de relações comerciais em que o credor, na qualidade de instituição financeira e gestora de crédito, falhou em seu dever de vigilância e atualização de dados cadastrais de seus clientes. Ao fundamentar que a deficiência cadastral é um risco do próprio negócio, o </w:t>
      </w:r>
      <w:r w:rsidRPr="0093443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decisum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rejeitou, de forma fundamentada e lógica, a pretensão de utilizar a via </w:t>
      </w:r>
      <w:proofErr w:type="spellStart"/>
      <w:r w:rsidRPr="0093443E">
        <w:rPr>
          <w:rFonts w:ascii="Arial" w:eastAsia="Times New Roman" w:hAnsi="Arial" w:cs="Arial"/>
          <w:sz w:val="24"/>
          <w:szCs w:val="24"/>
          <w:lang w:eastAsia="pt-BR"/>
        </w:rPr>
        <w:t>editalícia</w:t>
      </w:r>
      <w:proofErr w:type="spell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para suprir a lacuna probatória quanto ao paradeiro do réu. Portanto, houve o efetivo enfrentamento da questão, inexistindo a lacuna apontada.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No que tange à suposta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contradição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interna, a embargante sustenta que o Juízo teria reconhecido o esgotamento das diligências e, simultaneamente, imputado inércia à autora. Todavia, tal vício não se verifica. A sentença foi clara ao pontuar que a "sucessão de diligências infrutíferas" — 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materializada nos mandados e cartas negativas de </w:t>
      </w:r>
      <w:proofErr w:type="spell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IDs</w:t>
      </w:r>
      <w:proofErr w:type="spellEnd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103512433, 106224980 e 155709152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— é, na verdade, a maior prova da precariedade dos dados fornecidos pela credora desde o início da lide. O magistrado não afirmou que a parte autora deixou de protocolar petições, mas sim que o resultado inútil de quase uma década de tentativas demonstra a ausência de um pressuposto de desenvolvimento válido, qual seja, a indicação de um endereço que permita a citação real e o exercício do contraditório.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A fundamentação da sentença é coerente ao concluir que a realização de pesquisas eletrônicas em sistemas como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SISBAJUD, INFOJUD, SIEL e 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INFOSEG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,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embora tenha ocorrido sob a égide do princípio da cooperação, apenas confirmou que a instituição financeira não possuía informações fidedignas para possibilitar a </w:t>
      </w:r>
      <w:proofErr w:type="spellStart"/>
      <w:r w:rsidRPr="0093443E">
        <w:rPr>
          <w:rFonts w:ascii="Arial" w:eastAsia="Times New Roman" w:hAnsi="Arial" w:cs="Arial"/>
          <w:sz w:val="24"/>
          <w:szCs w:val="24"/>
          <w:lang w:eastAsia="pt-BR"/>
        </w:rPr>
        <w:t>angularização</w:t>
      </w:r>
      <w:proofErr w:type="spell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da demanda. A extinção com base no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485, inciso IV, do Código de Processo Civil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decorre da constatação objetiva de que o processo não tem condições de prosseguir sem a integração do réu, e que o ônus de viabilizar esse ato não pode ser transferido de forma perene ao Estado-Juiz. Assim, o reconhecimento dos esforços infrutíferos da autora é a própria premissa que sustenta a conclusão de que houve falha na gestão do risco da atividade econômica e que a relação processual não se aperfeiçoou, não havendo, portanto, qualquer antinomia lógica no julgado.</w:t>
      </w:r>
    </w:p>
    <w:p w:rsidR="0093443E" w:rsidRPr="0093443E" w:rsidRDefault="0093443E" w:rsidP="008408F7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3.3. IMPOSSIBILIDADE DE REDISCUSSÃO DA MATÉRIA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Superada a análise da inexistência dos vícios de omissão e contradição, resta evidenciado que o inconformismo da embargante </w:t>
      </w:r>
      <w:proofErr w:type="gramStart"/>
      <w:r w:rsidRPr="0093443E">
        <w:rPr>
          <w:rFonts w:ascii="Arial" w:eastAsia="Times New Roman" w:hAnsi="Arial" w:cs="Arial"/>
          <w:sz w:val="24"/>
          <w:szCs w:val="24"/>
          <w:lang w:eastAsia="pt-BR"/>
        </w:rPr>
        <w:t>direciona-se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, em verdade, à própria substância do julgado, buscando a reforma da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sentença de ID 170100029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pela via estreita dos </w:t>
      </w:r>
      <w:proofErr w:type="spellStart"/>
      <w:r w:rsidRPr="0093443E">
        <w:rPr>
          <w:rFonts w:ascii="Arial" w:eastAsia="Times New Roman" w:hAnsi="Arial" w:cs="Arial"/>
          <w:sz w:val="24"/>
          <w:szCs w:val="24"/>
          <w:lang w:eastAsia="pt-BR"/>
        </w:rPr>
        <w:t>aclaratórios</w:t>
      </w:r>
      <w:proofErr w:type="spell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. Ocorre que os embargos de declaração possuem natureza eminentemente integrativa e não substitutiva, servindo para aperfeiçoar a decisão e não para revisá-la quando a parte discorda do entendimento jurídico adotado pelo magistrado. Nos termos do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artigo 1.022 do Código de Processo 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Civil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,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o recurso não se presta a uma nova análise do mérito da causa ou ao reexame de provas e pressupostos processuais sob uma ótica distinta daquela já fundamentada pelo Juízo.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No caso dos autos, a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COOPERFORTE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insurge-se contra o reconhecimento do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risco da atividade econômica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e do dever de manutenção de dados fidedignos, alegando que tal entendimento violaria princípios como o da cooperação e da primazia do julgamento de </w:t>
      </w:r>
      <w:proofErr w:type="gramStart"/>
      <w:r w:rsidRPr="0093443E">
        <w:rPr>
          <w:rFonts w:ascii="Arial" w:eastAsia="Times New Roman" w:hAnsi="Arial" w:cs="Arial"/>
          <w:sz w:val="24"/>
          <w:szCs w:val="24"/>
          <w:lang w:eastAsia="pt-BR"/>
        </w:rPr>
        <w:t>mérito .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Todavia, a tese fixada na 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lastRenderedPageBreak/>
        <w:t>sentença embargada é fruto de uma interpretação sistemática do ordenamento jurídico, segundo a qual as instituições que operam no mercado financeiro e de crédito, ao auferirem lucros com tais operações, devem arcar com o ônus de gerir eficientemente seus cadastros. A impossibilidade de localização do devedor por quase dez anos, mesmo com o auxílio do Juízo, não é um vício de fundamentação da sentença, mas sim a constatação fática de uma falha operacional da credora que impede o desenvolvimento regular do processo.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A pretensão de que este Juízo reconsidere a extinção e defira a citação por edital configura nítido pedido de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efeito infringente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, o qual somente seria admitido se houvesse, de fato, um erro de premissa fática ou um vício lógico que, uma vez sanado, alterasse obrigatoriamente o resultado. Não é o que se verifica. A sentença enfrentou a tese do exaurimento de diligências e concluiu que, diante da natureza da parte autora e da precariedade do suporte probatório relativo ao endereço do réu, a medida excepcional da citação ficta não se justificava, preferindo a extinção do feito sem resolução de mérito nos termos do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artigo 485, inciso IV, do Código de Processo 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Civil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.</w:t>
      </w:r>
      <w:proofErr w:type="gramEnd"/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Portanto, se a embargante entende que o Juízo incorreu em </w:t>
      </w:r>
      <w:proofErr w:type="spellStart"/>
      <w:r w:rsidRPr="0093443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error</w:t>
      </w:r>
      <w:proofErr w:type="spellEnd"/>
      <w:r w:rsidRPr="0093443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in </w:t>
      </w:r>
      <w:proofErr w:type="spellStart"/>
      <w:r w:rsidRPr="0093443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iudicando</w:t>
      </w:r>
      <w:proofErr w:type="spell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ao valorar negativamente sua diligência ou ao aplicar a teoria do risco do negócio para extinguir o feito, tal insurgência deve ser veiculada por meio de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Recurso de Apelação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>, via adequada para a reforma de mérito de decisões terminativas. A utilização dos embargos para forçar o magistrado a mudar seu posicionamento jurídico, sem que existam obscuridades ou contradições reais, desvirtua a finalidade do instituto e atenta contra a celeridade processual. Assim, mantém-se hígido o entendimento de que a deficiência cadastral da instituição financeira não pode ser transferida perenemente ao Judiciário, restando inviável a rediscussão desta matéria em sede de embargos.</w:t>
      </w:r>
    </w:p>
    <w:p w:rsidR="0093443E" w:rsidRPr="0093443E" w:rsidRDefault="0093443E" w:rsidP="008408F7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4. DISPOSITIVO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e por tudo o mais que dos autos consta,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CONHEÇO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dos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Embargos de Declaração de ID 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170838192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,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uma vez que preenchidos os requisitos de admissibilidade, mas, no mérito,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REJEITO-OS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integralmente, com fundamento no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1.022 do Código de Processo Civil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. A presente decisão fundamenta-se na manifesta inexistência dos vícios de omissão ou contradição apontados pela embargante, restando demonstrado que o </w:t>
      </w:r>
      <w:r w:rsidRPr="0093443E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decisum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combatido 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lastRenderedPageBreak/>
        <w:t>abordou de forma suficiente e lógica as razões que ensejaram a extinção prematura da demanda.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Em consequência,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MANTENHO INTEGRALMENTE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sentença de ID </w:t>
      </w:r>
      <w:proofErr w:type="gramStart"/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170100029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,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que julgou extinto o processo sem resolução de mérito nos termos do </w:t>
      </w:r>
      <w:r w:rsidRPr="0093443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artigo 485, inciso IV, do Código de Processo Civil</w:t>
      </w: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, por seus próprios e jurídicos fundamentos. Fica ratificado o entendimento deste Juízo no sentido de que a citação ficta é medida de caráter excepcional e que o ônus de fornecer elementos fidedignos para a localização do devedor recai primordialmente sobre a instituição financeira credora, não havendo que se falar em nulidade por cerceamento de defesa ou violação ao dever de saneamento quando o histórico processual revela quase uma década de diligências infrutíferas decorrentes da precariedade cadastral da parte autora.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 as partes, observando-se o requerimento de que as publicações sejam efetuadas exclusivamente em nome do patrono indicado na peça de embargos.</w:t>
      </w:r>
    </w:p>
    <w:p w:rsidR="0093443E" w:rsidRPr="0093443E" w:rsidRDefault="0093443E" w:rsidP="008408F7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Certificado o trânsito em julgado desta decisão, nada mais sendo requerido e verificada a inexistência de custas pendentes, proceda-se à baixa definitiva no sistema e ao arquivamento dos presentes autos, observadas as </w:t>
      </w:r>
      <w:proofErr w:type="gramStart"/>
      <w:r w:rsidRPr="0093443E">
        <w:rPr>
          <w:rFonts w:ascii="Arial" w:eastAsia="Times New Roman" w:hAnsi="Arial" w:cs="Arial"/>
          <w:sz w:val="24"/>
          <w:szCs w:val="24"/>
          <w:lang w:eastAsia="pt-BR"/>
        </w:rPr>
        <w:t>cautelas</w:t>
      </w:r>
      <w:proofErr w:type="gramEnd"/>
      <w:r w:rsidRPr="0093443E">
        <w:rPr>
          <w:rFonts w:ascii="Arial" w:eastAsia="Times New Roman" w:hAnsi="Arial" w:cs="Arial"/>
          <w:sz w:val="24"/>
          <w:szCs w:val="24"/>
          <w:lang w:eastAsia="pt-BR"/>
        </w:rPr>
        <w:t xml:space="preserve"> de praxe da Secretaria.</w:t>
      </w:r>
    </w:p>
    <w:p w:rsidR="00BE5FBC" w:rsidRPr="0093443E" w:rsidRDefault="00BE5FBC" w:rsidP="008408F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BE5FBC" w:rsidRPr="009344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43E"/>
    <w:rsid w:val="008408F7"/>
    <w:rsid w:val="0093443E"/>
    <w:rsid w:val="00BE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640F4"/>
  <w15:chartTrackingRefBased/>
  <w15:docId w15:val="{B48F0A4B-60AE-4AF5-9BC1-4D7D4F08A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9344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9344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443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93443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344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3443E"/>
    <w:rPr>
      <w:b/>
      <w:bCs/>
    </w:rPr>
  </w:style>
  <w:style w:type="character" w:styleId="nfase">
    <w:name w:val="Emphasis"/>
    <w:basedOn w:val="Fontepargpadro"/>
    <w:uiPriority w:val="20"/>
    <w:qFormat/>
    <w:rsid w:val="0093443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2022</Words>
  <Characters>10922</Characters>
  <Application>Microsoft Office Word</Application>
  <DocSecurity>0</DocSecurity>
  <Lines>91</Lines>
  <Paragraphs>25</Paragraphs>
  <ScaleCrop>false</ScaleCrop>
  <Company/>
  <LinksUpToDate>false</LinksUpToDate>
  <CharactersWithSpaces>12919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2026-05-01T22:03:00Z</dcterms:created>
  <dcterms:modified xsi:type="dcterms:W3CDTF">2026-05-01T22:07:00Z</dcterms:modified>
</cp:coreProperties>
</file>