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bookmarkStart w:id="0" w:name="_GoBack"/>
      <w:r w:rsidRPr="00420E52">
        <w:rPr>
          <w:rFonts w:ascii="Arial" w:eastAsia="Times New Roman" w:hAnsi="Arial" w:cs="Arial"/>
          <w:bCs/>
          <w:sz w:val="24"/>
          <w:szCs w:val="24"/>
          <w:lang w:eastAsia="pt-BR"/>
        </w:rPr>
        <w:t>Processo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0856641-51.2018.8.14.0301</w:t>
      </w:r>
    </w:p>
    <w:bookmarkEnd w:id="0"/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b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sz w:val="24"/>
          <w:szCs w:val="24"/>
          <w:lang w:eastAsia="pt-BR"/>
        </w:rPr>
        <w:t xml:space="preserve">SENTENÇA DOS EMBARGOS DE DECLARAÇÃO 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Trata-se de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Embargos de Declaração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(ID 166533570) opostos por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BRASILSEG COMPANHIA DE SEGUROS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em face da sentença de mérito proferida por este Juízo (ID 165651058), que julgou parcialmente procedentes os pedidos formulados por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MANOEL MARQUES DA SILVA NETO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em desfavor da embargante e do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BANCO DO BRASIL S/A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sentença embargada, em síntese, declarou a nulidade dos reajustes por faixa etária aplicados ao contrato de seguro de vida do autor, condenou os réus, solidariamente, a recalcular o prêmio e o capital segurado utilizando apenas o índice IGP-M/FGV, a restituir os valores pagos a maior e a alterar a forma de cobrança para boleto bancário. O pedido de indenização por danos morais foi julgado improcedente.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embargante alega a existência de vícios na decisão, nos seguintes termos:</w:t>
      </w:r>
    </w:p>
    <w:p w:rsidR="00420E52" w:rsidRPr="00420E52" w:rsidRDefault="00420E52" w:rsidP="00420E5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Omissão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quanto à tese de perda parcial superveniente do objeto da ação, uma vez que o contrato de seguro teria sido cancelado por inadimplência do autor, o que não foi apreciado na sentença.</w:t>
      </w:r>
    </w:p>
    <w:p w:rsidR="00420E52" w:rsidRPr="00420E52" w:rsidRDefault="00420E52" w:rsidP="00420E5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Omissão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, no que diz respeito à deliberação sobre o levantamento do valor depositado em juízo a título de garantia para as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astreintes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, uma vez que a própria sentença reconheceu a inexigibilidade da multa.</w:t>
      </w:r>
    </w:p>
    <w:p w:rsidR="00420E52" w:rsidRPr="00420E52" w:rsidRDefault="00420E52" w:rsidP="00420E5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Obscuridade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quanto aos critérios de atualização monetária da condenação, por não ter aplicado a taxa SELIC, conforme entendimento consolidado pelo Superior Tribunal de Justiça no Tema n. 1.368.</w:t>
      </w:r>
    </w:p>
    <w:p w:rsidR="00420E52" w:rsidRPr="00420E52" w:rsidRDefault="00420E52" w:rsidP="00420E52">
      <w:pPr>
        <w:numPr>
          <w:ilvl w:val="0"/>
          <w:numId w:val="1"/>
        </w:numPr>
        <w:spacing w:after="0" w:line="360" w:lineRule="auto"/>
        <w:ind w:left="0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Obscuridade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, acerca da determinação de cobrança dos prêmios futuros via boleto bancário, por ser uma modalidade que, segundo a embargante, não é a usual nem a contratualmente prevista, </w:t>
      </w:r>
      <w:proofErr w:type="spellStart"/>
      <w:r w:rsidRPr="00420E52">
        <w:rPr>
          <w:rFonts w:ascii="Arial" w:eastAsia="Times New Roman" w:hAnsi="Arial" w:cs="Arial"/>
          <w:sz w:val="24"/>
          <w:szCs w:val="24"/>
          <w:lang w:eastAsia="pt-BR"/>
        </w:rPr>
        <w:t>gerando-lhe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dificuldades operacionais.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Intimado, o autor/embargado apresentou contrarrazões (ID 168164298), rechaçando todos os pontos levantados, sustentando o caráter protelatório do recurso e pugnando pela condenação da embargante por litigância de má-fé.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É o breve relatório.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Decido.</w:t>
      </w:r>
    </w:p>
    <w:p w:rsidR="00420E52" w:rsidRPr="00420E52" w:rsidRDefault="00420E52" w:rsidP="00420E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1. DA ADMISSIBILIDADE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Os embargos de declaração foram opostos tempestivamente e atendem aos requisitos formais de admissibilidade, razão pela qual conheço do 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recurso e passo à análise do seu mérito, nos termos do artigo 1.023 do Código de Processo Civil.</w:t>
      </w:r>
    </w:p>
    <w:p w:rsidR="00420E52" w:rsidRPr="00420E52" w:rsidRDefault="00420E52" w:rsidP="00420E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2. DA FUNDAMENTAÇÃO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Os embargos de declaração, conforme dispõe o artigo 1.022 do Código de Processo Civil, são cabíveis para esclarecer obscuridade, eliminar contradição, suprir omissão sobre ponto a respeito do qual devia se pronunciar o juiz ou corrigir erro material. Analiso, separadamente, cada um dos vícios apontados pela embargante.</w:t>
      </w:r>
    </w:p>
    <w:p w:rsidR="00420E52" w:rsidRPr="00420E52" w:rsidRDefault="00420E52" w:rsidP="00420E52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2.1. Da suposta omissão quanto à perda parcial do objeto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embargante sustenta que a sentença foi omissa ao não se manifestar sobre o cancelamento da apólice por inadimplência do autor, o que configuraria a perda parcial do objeto da demanda, limitando a revisão contratual à data do cancelamento.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A alegação não merece prosperar. A sentença, ao analisar o mérito da controvérsia, foi categórica ao reconhecer a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abusividade das cobranças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realizadas pelas rés a partir de setembro de 2017, em razão da aplicação indevida do reajuste por faixa etária. A decisão declarou a nulidade desse critério e condenou as rés à restituição dos valores pagos a maior, o que, por consequência lógica, estabelece um crédito em favor do consumidor.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tese de "inadimplência" do autor, que teria levado ao cancelamento da apólice, baseia-se justamente no não pagamento dos prêmios que este Juízo declarou serem abusivos e ilegais. É princípio basilar do direito obrigacional que não há mora do devedor (</w:t>
      </w:r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mora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debitoris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) quando a cobrança que lhe é dirigida funda-se em valores ilícitos ou excessivos, especialmente quando a própria parte credora possui um débito a ser restituído na mesma relação contratual.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Portanto, ao declarar a nulidade do reajuste e o direito à restituição, a sentença implicitamente afastou a legitimidade do cancelamento por "inadimplência", pois tornou inexistente a própria mora que lhe serviria de fundamento. A conduta da seguradora, de impor cobrança excessiva e, diante da recusa de pagamento, cancelar o contrato, configura um comportamento contraditório (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venire</w:t>
      </w:r>
      <w:proofErr w:type="spellEnd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contra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factum</w:t>
      </w:r>
      <w:proofErr w:type="spellEnd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proprium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), contrário à boa-fé objetiva que deve nortear as relações contratuais, sobretudo as de consumo.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Assim, não há omissão a ser sanada. A matéria foi devidamente enfrentada, e a conclusão lógica da procedência do pedido revisional é a de que 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contrato de seguro deve ser considerado ativo e vigente, sendo o cancelamento promovido pela seguradora um ato ineficaz por ausência de causa legítima.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portanto, os embargos neste ponto.</w:t>
      </w:r>
    </w:p>
    <w:p w:rsidR="00420E52" w:rsidRPr="00420E52" w:rsidRDefault="00420E52" w:rsidP="00420E52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2.2. Da omissão quanto ao levantamento do valor de garantia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A embargante aponta que a sentença, embora tenha declarado a inexigibilidade das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astreintes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fixadas em tutela de urgência posteriormente cassada, foi omissa quanto à autorização para levantamento do valor depositado em juízo para garantir tal multa.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Neste ponto, assiste razão à embargante. A sentença, no item II.4 de sua fundamentação (ID 165651058), reconheceu expressamente a impossibilidade de execução das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astreintes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em razão da cassação da decisão liminar pelo Tribunal de Justiça no Agravo de Instrumento n. 0802839-66.2021.8.14.0000.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De fato, se a obrigação principal (pagamento da multa) foi declarada inexigível, a garantia que a assegurava perde seu objeto. A ausência de uma determinação expressa no dispositivo da sentença sobre a liberação do depósito judicial configura uma omissão que deve ser suprida.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, pois, os embargos neste ponto para, integrando a sentença, autorizar a expedição do competente alvará de levantamento em favor da embargante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BRASILSEG COMPANHIA DE SEGUROS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, referente ao valor depositado como garantia ao cumprimento da obrigação de pagar as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astreintes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, com as devidas atualizações da conta judicial, se houver.</w:t>
      </w:r>
    </w:p>
    <w:p w:rsidR="00420E52" w:rsidRPr="00420E52" w:rsidRDefault="00420E52" w:rsidP="00420E52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2.3. Da obscuridade quanto ao critério de atualização da condenação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embargante alega obscuridade na fixação da correção monetária pelo INPC e juros de 1% ao mês, defendendo a aplicação da taxa SELIC, conforme o Tema Repetitivo n. 1.368 do Superior Tribunal de Justiça.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Ainda que a matéria se aproxime de um erro de julgamento (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error</w:t>
      </w:r>
      <w:proofErr w:type="spellEnd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in </w:t>
      </w:r>
      <w:proofErr w:type="spellStart"/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judicando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), a necessidade de alinhamento da decisão a precedente vinculante autoriza a sua análise em sede de embargos de declaração, em nome da economia processual e da segurança jurídica.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Com efeito, a Corte Especial do Superior Tribunal de Justiça, no julgamento do </w:t>
      </w:r>
      <w:proofErr w:type="spellStart"/>
      <w:r w:rsidRPr="00420E52">
        <w:rPr>
          <w:rFonts w:ascii="Arial" w:eastAsia="Times New Roman" w:hAnsi="Arial" w:cs="Arial"/>
          <w:sz w:val="24"/>
          <w:szCs w:val="24"/>
          <w:lang w:eastAsia="pt-BR"/>
        </w:rPr>
        <w:t>REsp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n. 2.199.164/PR (Tema 1.368), pacificou o entendimento de que o artigo 406 do Código Civil, em sua redação anterior à Lei n. 14.905/2024, deve ser interpretado no sentido de que a taxa SELIC é o índice aplicável para os juros 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de mora em dívidas de natureza civil, englobando, em sua composição, tanto a correção monetária quanto os juros.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sentença embargada, ao fixar a incidência de correção monetária pelo INPC cumulada com juros de mora de 1% ao mês, divergiu do entendimento firmado em precedente obrigatório. Desse modo, para sanar o vício e adequar a decisão à jurisprudência consolidada, é imperativo o acolhimento dos embargos neste tópico.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os embargos de declaração para, atribuindo-lhes efeitos infringentes, modificar o item III.3 da parte dispositiva da sentença (ID 165651058), que passará a ter a seguinte redação: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i/>
          <w:i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"III.3. Condenar os Réus, solidariamente, na </w:t>
      </w:r>
      <w:r w:rsidRPr="00420E52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Obrigação de Restituir</w:t>
      </w:r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 os valores pagos a maior pelo Autor a título de prêmio de seguro, devendo ser ressarcida a diferença entre os valores cobrados com o reajuste por faixa etária (declarado nulo) e os valores devidos com a aplicação do índice IGP-M/FGV (ou o substituto), conforme item III.2, a, a serem apurados em liquidação de sentença. Os valores a serem restituídos deverão ser atualizados exclusivamente pela </w:t>
      </w:r>
      <w:r w:rsidRPr="00420E52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taxa SELIC</w:t>
      </w:r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 xml:space="preserve">, a contar de cada pagamento indevido, vedada a cumulação com qualquer outro índice de correção monetária ou juros de mora." </w:t>
      </w:r>
    </w:p>
    <w:p w:rsidR="00420E52" w:rsidRPr="00420E52" w:rsidRDefault="00420E52" w:rsidP="00420E52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2.4. Da obscuridade quanto à forma de cobrança por boleto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 embargante alega obscuridade na determinação de que a cobrança dos prêmios seja feita por boleto bancário, argumentando que tal forma não é a usual ou contratual.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Não se vislumbra qualquer obscuridade neste ponto. A sentença foi explícita e fundamentada ao determinar a alteração da forma de pagamento, conforme se extrai do trecho (ID 165651058, pág. 4, item 3): "</w:t>
      </w:r>
      <w:r w:rsidRPr="00420E5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A alteração do modo de pagamento [...] deve ser mantida, a fim de evitar a continuidade da prática abusiva de descontos unilaterais e indevidos na conta do consumidor, o que se demonstrou ser uma conduta renitente dos Réus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".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A fundamentação é clara: a medida visa proteger o consumidor, parte vulnerável da relação, contra a reiteração de descontos abusivos, prática comprovada nos autos através das diversas petições do autor noticiando o descumprimento de ordens judiciais. A discordância da embargante não se refere a uma falta de clareza, mas sim ao mérito da determinação, buscando sua reforma por via inadequada. A eventual dificuldade operacional da seguradora 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lastRenderedPageBreak/>
        <w:t>não pode se sobrepor ao direito do consumidor de não ter seu patrimônio violado por cobranças ilegais.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Rejeito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assim, os embargos neste ponto.</w:t>
      </w:r>
    </w:p>
    <w:p w:rsidR="00420E52" w:rsidRPr="00420E52" w:rsidRDefault="00420E52" w:rsidP="00420E52">
      <w:pPr>
        <w:spacing w:after="0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2.5. Do pedido de condenação por litigância de má-fé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O embargado, em suas contrarrazões, requer a condenação da embargante por litigância de má-fé. Embora alguns dos argumentos da embargante sejam frágeis, o recurso também veiculou pretensões legítimas que foram, inclusive, acolhidas (levantamento do depósito e alteração do índice de correção). A oposição de embargos, mesmo que parcialmente improcedentes, constitui exercício regular do direito de defesa, não se enquadrando nas hipóteses taxativas do artigo 80 do CPC. Indefiro o pedido.</w:t>
      </w:r>
    </w:p>
    <w:p w:rsidR="00420E52" w:rsidRPr="00420E52" w:rsidRDefault="00420E52" w:rsidP="00420E52">
      <w:pPr>
        <w:spacing w:after="0" w:line="360" w:lineRule="auto"/>
        <w:jc w:val="both"/>
        <w:outlineLvl w:val="0"/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b/>
          <w:bCs/>
          <w:kern w:val="36"/>
          <w:sz w:val="24"/>
          <w:szCs w:val="24"/>
          <w:lang w:eastAsia="pt-BR"/>
        </w:rPr>
        <w:t>3. DISPOSITIVO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Ante o exposto,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conheço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dos embargos de declaração opostos e, no mérito,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ACOLHO-OS PARCIALMENTE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com efeitos infringentes, para: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a)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Suprir</w:t>
      </w:r>
      <w:proofErr w:type="gram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a omissão e, consequentemente,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 xml:space="preserve">determinar a expedição de alvará judicial para levantamento, pela embargante BRASILSEG COMPANHIA DE SEGUROS, do valor depositado em juízo a título de garantia das </w:t>
      </w:r>
      <w:proofErr w:type="spellStart"/>
      <w:r w:rsidRPr="00420E52">
        <w:rPr>
          <w:rFonts w:ascii="Arial" w:eastAsia="Times New Roman" w:hAnsi="Arial" w:cs="Arial"/>
          <w:b/>
          <w:bCs/>
          <w:i/>
          <w:iCs/>
          <w:sz w:val="24"/>
          <w:szCs w:val="24"/>
          <w:lang w:eastAsia="pt-BR"/>
        </w:rPr>
        <w:t>astreintes</w:t>
      </w:r>
      <w:proofErr w:type="spell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>, com os acréscimos da conta judicial, se houver, tendo em vista a declaração de inexigibilidade da multa na sentença embargada.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b)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Sanar</w:t>
      </w:r>
      <w:proofErr w:type="gramEnd"/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 a obscuridade e, por conseguinte,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modificar o item III.3 do dispositivo da sentença (ID 165651058)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, para que a condenação à restituição dos valores pagos a maior seja atualizada, a partir de cada desembolso indevido,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exclusivamente pela taxa SELIC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nos termos da fundamentação supra.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 xml:space="preserve">No mais, </w:t>
      </w:r>
      <w:r w:rsidRPr="00420E5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mantém-se a sentença embargada em seus exatos termos</w:t>
      </w:r>
      <w:r w:rsidRPr="00420E52">
        <w:rPr>
          <w:rFonts w:ascii="Arial" w:eastAsia="Times New Roman" w:hAnsi="Arial" w:cs="Arial"/>
          <w:sz w:val="24"/>
          <w:szCs w:val="24"/>
          <w:lang w:eastAsia="pt-BR"/>
        </w:rPr>
        <w:t>, por não haver os demais vícios apontados.</w:t>
      </w:r>
    </w:p>
    <w:p w:rsidR="00420E52" w:rsidRPr="00420E52" w:rsidRDefault="00420E52" w:rsidP="00420E52">
      <w:pPr>
        <w:spacing w:after="0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Intime-se o Banco do Brasil S/A sobre o teor da presente decisão, considerando a interposição do Recurso de Apelação (ID 167297978).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Após, certifique-se o trânsito em julgado desta decisão e, em seguida, remetam-se os autos ao Egrégio Tribunal de Justiça do Estado do Pará para o processamento e julgamento do recurso de apelação já interposto.</w:t>
      </w:r>
    </w:p>
    <w:p w:rsidR="00420E52" w:rsidRPr="00420E52" w:rsidRDefault="00420E52" w:rsidP="00420E52">
      <w:pPr>
        <w:spacing w:after="0" w:line="360" w:lineRule="auto"/>
        <w:ind w:firstLine="1134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420E52">
        <w:rPr>
          <w:rFonts w:ascii="Arial" w:eastAsia="Times New Roman" w:hAnsi="Arial" w:cs="Arial"/>
          <w:sz w:val="24"/>
          <w:szCs w:val="24"/>
          <w:lang w:eastAsia="pt-BR"/>
        </w:rPr>
        <w:t>Publique-se. Registre-se. Intimem-se. Cumpra-se, expedindo-se o necessário.</w:t>
      </w:r>
    </w:p>
    <w:p w:rsidR="00331CF3" w:rsidRPr="00420E52" w:rsidRDefault="00331CF3" w:rsidP="00420E52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sectPr w:rsidR="00331CF3" w:rsidRPr="00420E5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302965"/>
    <w:multiLevelType w:val="multilevel"/>
    <w:tmpl w:val="AA74C4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20E52"/>
    <w:rsid w:val="00331CF3"/>
    <w:rsid w:val="0042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AE88E6"/>
  <w15:chartTrackingRefBased/>
  <w15:docId w15:val="{7AC4D7D0-476D-41D8-A7F2-5CA395D60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420E5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420E5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20E52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420E52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420E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20E52"/>
    <w:rPr>
      <w:b/>
      <w:bCs/>
    </w:rPr>
  </w:style>
  <w:style w:type="character" w:styleId="nfase">
    <w:name w:val="Emphasis"/>
    <w:basedOn w:val="Fontepargpadro"/>
    <w:uiPriority w:val="20"/>
    <w:qFormat/>
    <w:rsid w:val="00420E5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9523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39465">
              <w:marLeft w:val="14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1704</Words>
  <Characters>9205</Characters>
  <Application>Microsoft Office Word</Application>
  <DocSecurity>0</DocSecurity>
  <Lines>76</Lines>
  <Paragraphs>21</Paragraphs>
  <ScaleCrop>false</ScaleCrop>
  <Company/>
  <LinksUpToDate>false</LinksUpToDate>
  <CharactersWithSpaces>10888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2026-05-01T22:36:00Z</dcterms:created>
  <dcterms:modified xsi:type="dcterms:W3CDTF">2026-05-01T22:40:00Z</dcterms:modified>
</cp:coreProperties>
</file>