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BDB" w:rsidRPr="00446BDB" w:rsidRDefault="00446BDB" w:rsidP="00446BDB">
      <w:pPr>
        <w:spacing w:before="120" w:after="120" w:line="240" w:lineRule="auto"/>
        <w:jc w:val="both"/>
        <w:rPr>
          <w:rFonts w:ascii="Arial" w:eastAsia="Times New Roman" w:hAnsi="Arial" w:cs="Arial"/>
          <w:sz w:val="24"/>
          <w:szCs w:val="24"/>
          <w:lang w:eastAsia="pt-BR"/>
        </w:rPr>
      </w:pPr>
      <w:bookmarkStart w:id="0" w:name="_GoBack"/>
      <w:r w:rsidRPr="00446BDB">
        <w:rPr>
          <w:rFonts w:ascii="Arial" w:eastAsia="Times New Roman" w:hAnsi="Arial" w:cs="Arial"/>
          <w:bCs/>
          <w:sz w:val="24"/>
          <w:szCs w:val="24"/>
          <w:lang w:eastAsia="pt-BR"/>
        </w:rPr>
        <w:t>Processo nº</w:t>
      </w:r>
      <w:r w:rsidRPr="00446BDB">
        <w:rPr>
          <w:rFonts w:ascii="Arial" w:eastAsia="Times New Roman" w:hAnsi="Arial" w:cs="Arial"/>
          <w:sz w:val="24"/>
          <w:szCs w:val="24"/>
          <w:lang w:eastAsia="pt-BR"/>
        </w:rPr>
        <w:t xml:space="preserve"> 0011072-65.2015.8.14.0301</w:t>
      </w:r>
      <w:bookmarkEnd w:id="0"/>
    </w:p>
    <w:p w:rsidR="00446BDB" w:rsidRPr="00446BDB" w:rsidRDefault="00446BDB" w:rsidP="00446BDB">
      <w:pPr>
        <w:spacing w:before="120" w:after="120" w:line="240" w:lineRule="auto"/>
        <w:jc w:val="both"/>
        <w:rPr>
          <w:rFonts w:ascii="Arial" w:eastAsia="Times New Roman" w:hAnsi="Arial" w:cs="Arial"/>
          <w:sz w:val="24"/>
          <w:szCs w:val="24"/>
          <w:u w:val="single"/>
          <w:lang w:eastAsia="pt-BR"/>
        </w:rPr>
      </w:pPr>
      <w:r>
        <w:rPr>
          <w:rFonts w:ascii="Arial" w:eastAsia="Times New Roman" w:hAnsi="Arial" w:cs="Arial"/>
          <w:sz w:val="24"/>
          <w:szCs w:val="24"/>
          <w:lang w:eastAsia="pt-BR"/>
        </w:rPr>
        <w:t>SENTENÇA DOS EMBARGOS DE DECLARAÇÃO</w:t>
      </w:r>
    </w:p>
    <w:p w:rsidR="00446BDB" w:rsidRPr="00446BDB" w:rsidRDefault="00446BDB" w:rsidP="00446BDB">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446BDB">
        <w:rPr>
          <w:rFonts w:ascii="Arial" w:eastAsia="Times New Roman" w:hAnsi="Arial" w:cs="Arial"/>
          <w:b/>
          <w:bCs/>
          <w:kern w:val="36"/>
          <w:sz w:val="24"/>
          <w:szCs w:val="24"/>
          <w:lang w:eastAsia="pt-BR"/>
        </w:rPr>
        <w:t>1. RELATÓRIO</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Trata-se de </w:t>
      </w:r>
      <w:r w:rsidRPr="00446BDB">
        <w:rPr>
          <w:rFonts w:ascii="Arial" w:eastAsia="Times New Roman" w:hAnsi="Arial" w:cs="Arial"/>
          <w:b/>
          <w:bCs/>
          <w:sz w:val="24"/>
          <w:szCs w:val="24"/>
          <w:lang w:eastAsia="pt-BR"/>
        </w:rPr>
        <w:t>Embargos de Declaração</w:t>
      </w:r>
      <w:r w:rsidRPr="00446BDB">
        <w:rPr>
          <w:rFonts w:ascii="Arial" w:eastAsia="Times New Roman" w:hAnsi="Arial" w:cs="Arial"/>
          <w:sz w:val="24"/>
          <w:szCs w:val="24"/>
          <w:lang w:eastAsia="pt-BR"/>
        </w:rPr>
        <w:t xml:space="preserve"> (ID 145622134) opostos por </w:t>
      </w:r>
      <w:r w:rsidRPr="00446BDB">
        <w:rPr>
          <w:rFonts w:ascii="Arial" w:eastAsia="Times New Roman" w:hAnsi="Arial" w:cs="Arial"/>
          <w:b/>
          <w:bCs/>
          <w:sz w:val="24"/>
          <w:szCs w:val="24"/>
          <w:lang w:eastAsia="pt-BR"/>
        </w:rPr>
        <w:t>YOLANDA GERALDO DA SILVA</w:t>
      </w:r>
      <w:r w:rsidRPr="00446BDB">
        <w:rPr>
          <w:rFonts w:ascii="Arial" w:eastAsia="Times New Roman" w:hAnsi="Arial" w:cs="Arial"/>
          <w:sz w:val="24"/>
          <w:szCs w:val="24"/>
          <w:lang w:eastAsia="pt-BR"/>
        </w:rPr>
        <w:t>, uma das autoras da presente ação, em face da sentença proferida no ID 144969564, que homologou seu pedido de desistência e julgou extinto o processo, sem resolução de mérito, com fundamento no artigo 485, inciso VIII, do Código de Processo Civil.</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A embargante sustenta, em síntese, a existência de </w:t>
      </w:r>
      <w:r w:rsidRPr="00446BDB">
        <w:rPr>
          <w:rFonts w:ascii="Arial" w:eastAsia="Times New Roman" w:hAnsi="Arial" w:cs="Arial"/>
          <w:b/>
          <w:bCs/>
          <w:sz w:val="24"/>
          <w:szCs w:val="24"/>
          <w:lang w:eastAsia="pt-BR"/>
        </w:rPr>
        <w:t>obscuridade</w:t>
      </w:r>
      <w:r w:rsidRPr="00446BDB">
        <w:rPr>
          <w:rFonts w:ascii="Arial" w:eastAsia="Times New Roman" w:hAnsi="Arial" w:cs="Arial"/>
          <w:sz w:val="24"/>
          <w:szCs w:val="24"/>
          <w:lang w:eastAsia="pt-BR"/>
        </w:rPr>
        <w:t xml:space="preserve"> no julgado. Alega que, embora a ação tenha sido proposta em litisconsórcio ativo por quatro autores, o pedido de desistência (ID 102510692) foi formulado exclusivamente por ela. No entanto, a sentença extinguiu "o processo" de forma genérica, o que, segundo a embargante, gera incerteza sobre a continuidade da ação em relação aos demais autores, a saber: </w:t>
      </w:r>
      <w:r w:rsidRPr="00446BDB">
        <w:rPr>
          <w:rFonts w:ascii="Arial" w:eastAsia="Times New Roman" w:hAnsi="Arial" w:cs="Arial"/>
          <w:b/>
          <w:bCs/>
          <w:sz w:val="24"/>
          <w:szCs w:val="24"/>
          <w:lang w:eastAsia="pt-BR"/>
        </w:rPr>
        <w:t>JOSELINA VERAS DE ALMEIDA</w:t>
      </w:r>
      <w:r w:rsidRPr="00446BDB">
        <w:rPr>
          <w:rFonts w:ascii="Arial" w:eastAsia="Times New Roman" w:hAnsi="Arial" w:cs="Arial"/>
          <w:sz w:val="24"/>
          <w:szCs w:val="24"/>
          <w:lang w:eastAsia="pt-BR"/>
        </w:rPr>
        <w:t xml:space="preserve">, </w:t>
      </w:r>
      <w:r w:rsidRPr="00446BDB">
        <w:rPr>
          <w:rFonts w:ascii="Arial" w:eastAsia="Times New Roman" w:hAnsi="Arial" w:cs="Arial"/>
          <w:b/>
          <w:bCs/>
          <w:sz w:val="24"/>
          <w:szCs w:val="24"/>
          <w:lang w:eastAsia="pt-BR"/>
        </w:rPr>
        <w:t>DEMOSTHENES MARQUES</w:t>
      </w:r>
      <w:r w:rsidRPr="00446BDB">
        <w:rPr>
          <w:rFonts w:ascii="Arial" w:eastAsia="Times New Roman" w:hAnsi="Arial" w:cs="Arial"/>
          <w:sz w:val="24"/>
          <w:szCs w:val="24"/>
          <w:lang w:eastAsia="pt-BR"/>
        </w:rPr>
        <w:t xml:space="preserve"> e </w:t>
      </w:r>
      <w:r w:rsidRPr="00446BDB">
        <w:rPr>
          <w:rFonts w:ascii="Arial" w:eastAsia="Times New Roman" w:hAnsi="Arial" w:cs="Arial"/>
          <w:b/>
          <w:bCs/>
          <w:sz w:val="24"/>
          <w:szCs w:val="24"/>
          <w:lang w:eastAsia="pt-BR"/>
        </w:rPr>
        <w:t>IRACILDA CARVALHEIROS SARMENTO</w:t>
      </w:r>
      <w:r w:rsidRPr="00446BDB">
        <w:rPr>
          <w:rFonts w:ascii="Arial" w:eastAsia="Times New Roman" w:hAnsi="Arial" w:cs="Arial"/>
          <w:sz w:val="24"/>
          <w:szCs w:val="24"/>
          <w:lang w:eastAsia="pt-BR"/>
        </w:rPr>
        <w:t>. Ao final, pugna pelo acolhimento dos embargos para que seja esclarecido que a extinção do feito se aplica somente a ela.</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Por meio de Ato Ordinatório (ID 146810922), as partes embargadas foram devidamente intimadas para, querendo, apresentar contrarrazões no prazo legal.</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O réu </w:t>
      </w:r>
      <w:r w:rsidRPr="00446BDB">
        <w:rPr>
          <w:rFonts w:ascii="Arial" w:eastAsia="Times New Roman" w:hAnsi="Arial" w:cs="Arial"/>
          <w:b/>
          <w:bCs/>
          <w:sz w:val="24"/>
          <w:szCs w:val="24"/>
          <w:lang w:eastAsia="pt-BR"/>
        </w:rPr>
        <w:t>BANCO DA AMAZÔNIA S.A.</w:t>
      </w:r>
      <w:r w:rsidRPr="00446BDB">
        <w:rPr>
          <w:rFonts w:ascii="Arial" w:eastAsia="Times New Roman" w:hAnsi="Arial" w:cs="Arial"/>
          <w:sz w:val="24"/>
          <w:szCs w:val="24"/>
          <w:lang w:eastAsia="pt-BR"/>
        </w:rPr>
        <w:t xml:space="preserve"> apresentou suas contrarrazões no ID 147400056, manifestando concordância com o acolhimento dos embargos. Afirmou que, de fato, apenas a autora Yolanda pugnou pela desistência e que a sentença, ao extinguir a ação em relação a todos os autores, foi proferida de forma ampla. Requereu, por fim, que a embargante seja condenada ao pagamento de honorários sucumbenciais, nos termos do artigo 90 do CPC.</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A ré </w:t>
      </w:r>
      <w:r w:rsidRPr="00446BDB">
        <w:rPr>
          <w:rFonts w:ascii="Arial" w:eastAsia="Times New Roman" w:hAnsi="Arial" w:cs="Arial"/>
          <w:b/>
          <w:bCs/>
          <w:sz w:val="24"/>
          <w:szCs w:val="24"/>
          <w:lang w:eastAsia="pt-BR"/>
        </w:rPr>
        <w:t>CAIXA DE PREVIDÊNCIA COMPLEMENTAR DO BANCO DA AMAZÔNIA – CAPAF</w:t>
      </w:r>
      <w:r w:rsidRPr="00446BDB">
        <w:rPr>
          <w:rFonts w:ascii="Arial" w:eastAsia="Times New Roman" w:hAnsi="Arial" w:cs="Arial"/>
          <w:sz w:val="24"/>
          <w:szCs w:val="24"/>
          <w:lang w:eastAsia="pt-BR"/>
        </w:rPr>
        <w:t xml:space="preserve"> também apresentou contrarrazões (ID 147596809), concordando com o esclarecimento de que a extinção do processo atinge unicamente a autora YOLANDA GERALDO DA SILVA, devendo o feito prosseguir em relação aos demais coautores.</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Paralelamente, a </w:t>
      </w:r>
      <w:r w:rsidRPr="00446BDB">
        <w:rPr>
          <w:rFonts w:ascii="Arial" w:eastAsia="Times New Roman" w:hAnsi="Arial" w:cs="Arial"/>
          <w:b/>
          <w:bCs/>
          <w:sz w:val="24"/>
          <w:szCs w:val="24"/>
          <w:lang w:eastAsia="pt-BR"/>
        </w:rPr>
        <w:t>BB PREVIDÊNCIA – FUNDO DE PENSÃO BANCO DO BRASIL</w:t>
      </w:r>
      <w:r w:rsidRPr="00446BDB">
        <w:rPr>
          <w:rFonts w:ascii="Arial" w:eastAsia="Times New Roman" w:hAnsi="Arial" w:cs="Arial"/>
          <w:sz w:val="24"/>
          <w:szCs w:val="24"/>
          <w:lang w:eastAsia="pt-BR"/>
        </w:rPr>
        <w:t xml:space="preserve"> protocolou a petição de "Chamamento do Feito à Ordem" (ID 146944443). Nessa manifestação, a entidade reforça o equívoco da sentença ao extinguir integralmente o processo, mas adiciona que, na qualidade de substituta processual da CAPAF em relação ao autor DEMOSTHENES MARQUES (pedido de substituição deferido conforme despacho de ID 139746193), não foi devidamente cadastrada nos autos nem intimada da referida sentença, o que configuraria vício de nulidade. Requer, portanto, a limitação da extinção à autora desistente e a regularização de sua representação processual e das futuras intimações.</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A certidão de ID 154992529 atestou a tempestividade das contrarrazões.</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Os autos vieram conclusos para julgamento (ID 165843459).</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lastRenderedPageBreak/>
        <w:t xml:space="preserve">É o relatório. </w:t>
      </w:r>
      <w:r w:rsidRPr="00446BDB">
        <w:rPr>
          <w:rFonts w:ascii="Arial" w:eastAsia="Times New Roman" w:hAnsi="Arial" w:cs="Arial"/>
          <w:b/>
          <w:bCs/>
          <w:sz w:val="24"/>
          <w:szCs w:val="24"/>
          <w:lang w:eastAsia="pt-BR"/>
        </w:rPr>
        <w:t>Decido.</w:t>
      </w:r>
    </w:p>
    <w:p w:rsidR="00446BDB" w:rsidRPr="00446BDB" w:rsidRDefault="00446BDB" w:rsidP="00446BDB">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446BDB">
        <w:rPr>
          <w:rFonts w:ascii="Arial" w:eastAsia="Times New Roman" w:hAnsi="Arial" w:cs="Arial"/>
          <w:b/>
          <w:bCs/>
          <w:kern w:val="36"/>
          <w:sz w:val="24"/>
          <w:szCs w:val="24"/>
          <w:lang w:eastAsia="pt-BR"/>
        </w:rPr>
        <w:t>2. FUNDAMENTAÇÃO</w:t>
      </w:r>
    </w:p>
    <w:p w:rsidR="00446BDB" w:rsidRPr="00446BDB" w:rsidRDefault="00446BDB" w:rsidP="00446BDB">
      <w:pPr>
        <w:spacing w:before="100" w:beforeAutospacing="1" w:after="100" w:afterAutospacing="1" w:line="240" w:lineRule="auto"/>
        <w:jc w:val="both"/>
        <w:outlineLvl w:val="1"/>
        <w:rPr>
          <w:rFonts w:ascii="Arial" w:eastAsia="Times New Roman" w:hAnsi="Arial" w:cs="Arial"/>
          <w:b/>
          <w:bCs/>
          <w:sz w:val="24"/>
          <w:szCs w:val="24"/>
          <w:lang w:eastAsia="pt-BR"/>
        </w:rPr>
      </w:pPr>
      <w:r w:rsidRPr="00446BDB">
        <w:rPr>
          <w:rFonts w:ascii="Arial" w:eastAsia="Times New Roman" w:hAnsi="Arial" w:cs="Arial"/>
          <w:b/>
          <w:bCs/>
          <w:sz w:val="24"/>
          <w:szCs w:val="24"/>
          <w:lang w:eastAsia="pt-BR"/>
        </w:rPr>
        <w:t>2.1. Da Admissibilidade dos Embargos de Declaração</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Os presentes embargos de declaração foram opostos tempestivamente, conforme certificado nos autos (ID 146810922 e ID 154992529), e apontam a existência de obscuridade, uma das hipóteses de cabimento previstas no artigo 1.022, inciso I, do Código de Processo Civil.</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Dessa forma, preenchidos os requisitos formais e de admissibilidade, </w:t>
      </w:r>
      <w:r w:rsidRPr="00446BDB">
        <w:rPr>
          <w:rFonts w:ascii="Arial" w:eastAsia="Times New Roman" w:hAnsi="Arial" w:cs="Arial"/>
          <w:b/>
          <w:bCs/>
          <w:sz w:val="24"/>
          <w:szCs w:val="24"/>
          <w:lang w:eastAsia="pt-BR"/>
        </w:rPr>
        <w:t>conheço</w:t>
      </w:r>
      <w:r w:rsidRPr="00446BDB">
        <w:rPr>
          <w:rFonts w:ascii="Arial" w:eastAsia="Times New Roman" w:hAnsi="Arial" w:cs="Arial"/>
          <w:sz w:val="24"/>
          <w:szCs w:val="24"/>
          <w:lang w:eastAsia="pt-BR"/>
        </w:rPr>
        <w:t xml:space="preserve"> dos embargos e passo à análise do seu mérito.</w:t>
      </w:r>
    </w:p>
    <w:p w:rsidR="00446BDB" w:rsidRPr="00446BDB" w:rsidRDefault="00446BDB" w:rsidP="00446BDB">
      <w:pPr>
        <w:spacing w:before="100" w:beforeAutospacing="1" w:after="100" w:afterAutospacing="1" w:line="240" w:lineRule="auto"/>
        <w:jc w:val="both"/>
        <w:outlineLvl w:val="1"/>
        <w:rPr>
          <w:rFonts w:ascii="Arial" w:eastAsia="Times New Roman" w:hAnsi="Arial" w:cs="Arial"/>
          <w:b/>
          <w:bCs/>
          <w:sz w:val="24"/>
          <w:szCs w:val="24"/>
          <w:lang w:eastAsia="pt-BR"/>
        </w:rPr>
      </w:pPr>
      <w:r w:rsidRPr="00446BDB">
        <w:rPr>
          <w:rFonts w:ascii="Arial" w:eastAsia="Times New Roman" w:hAnsi="Arial" w:cs="Arial"/>
          <w:b/>
          <w:bCs/>
          <w:sz w:val="24"/>
          <w:szCs w:val="24"/>
          <w:lang w:eastAsia="pt-BR"/>
        </w:rPr>
        <w:t>2.2. Da Obscuridade na Sentença Embargada</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O ponto central da controvérsia reside na clareza do dispositivo da sentença de ID 144969564. A obscuridade, como vício sanável por meio de embargos de declaração, configura-se quando a decisão judicial carece de clareza, gerando dúvida ou dificuldade de interpretação sobre o seu exato alcance e sobre os seus efeitos práticos.</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No caso em análise, a ação foi ajuizada por um grupo de quatro autores em litisconsórcio ativo. Em um momento posterior, especificamente na petição de ID 102510692, a autora </w:t>
      </w:r>
      <w:r w:rsidRPr="00446BDB">
        <w:rPr>
          <w:rFonts w:ascii="Arial" w:eastAsia="Times New Roman" w:hAnsi="Arial" w:cs="Arial"/>
          <w:b/>
          <w:bCs/>
          <w:sz w:val="24"/>
          <w:szCs w:val="24"/>
          <w:lang w:eastAsia="pt-BR"/>
        </w:rPr>
        <w:t>YOLANDA GERALDO DA SILVA</w:t>
      </w:r>
      <w:r w:rsidRPr="00446BDB">
        <w:rPr>
          <w:rFonts w:ascii="Arial" w:eastAsia="Times New Roman" w:hAnsi="Arial" w:cs="Arial"/>
          <w:sz w:val="24"/>
          <w:szCs w:val="24"/>
          <w:lang w:eastAsia="pt-BR"/>
        </w:rPr>
        <w:t xml:space="preserve"> manifestou, de forma individual e inequívoca, o seu desejo de desistir da ação. Os réus, intimados a se manifestar sobre o pedido, concordaram com a desistência (ID 141891557 e ID 142707180).</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Diante desse cenário, foi proferida a sentença embargada (ID 144969564), cujo dispositivo foi redigido nos seguintes termos:</w:t>
      </w:r>
    </w:p>
    <w:p w:rsidR="00446BDB" w:rsidRPr="00446BDB" w:rsidRDefault="00446BDB" w:rsidP="00446BDB">
      <w:pPr>
        <w:spacing w:after="0" w:line="240" w:lineRule="auto"/>
        <w:jc w:val="both"/>
        <w:rPr>
          <w:rFonts w:ascii="Arial" w:eastAsia="Times New Roman" w:hAnsi="Arial" w:cs="Arial"/>
          <w:i/>
          <w:iCs/>
          <w:sz w:val="24"/>
          <w:szCs w:val="24"/>
          <w:lang w:eastAsia="pt-BR"/>
        </w:rPr>
      </w:pPr>
      <w:r w:rsidRPr="00446BDB">
        <w:rPr>
          <w:rFonts w:ascii="Arial" w:eastAsia="Times New Roman" w:hAnsi="Arial" w:cs="Arial"/>
          <w:i/>
          <w:iCs/>
          <w:sz w:val="24"/>
          <w:szCs w:val="24"/>
          <w:lang w:eastAsia="pt-BR"/>
        </w:rPr>
        <w:t xml:space="preserve">"Considerando-se que a parte autora veio aos autos requerendo a desistência do feito e que houve </w:t>
      </w:r>
      <w:proofErr w:type="spellStart"/>
      <w:r w:rsidRPr="00446BDB">
        <w:rPr>
          <w:rFonts w:ascii="Arial" w:eastAsia="Times New Roman" w:hAnsi="Arial" w:cs="Arial"/>
          <w:i/>
          <w:iCs/>
          <w:sz w:val="24"/>
          <w:szCs w:val="24"/>
          <w:lang w:eastAsia="pt-BR"/>
        </w:rPr>
        <w:t>concordancia</w:t>
      </w:r>
      <w:proofErr w:type="spellEnd"/>
      <w:r w:rsidRPr="00446BDB">
        <w:rPr>
          <w:rFonts w:ascii="Arial" w:eastAsia="Times New Roman" w:hAnsi="Arial" w:cs="Arial"/>
          <w:i/>
          <w:iCs/>
          <w:sz w:val="24"/>
          <w:szCs w:val="24"/>
          <w:lang w:eastAsia="pt-BR"/>
        </w:rPr>
        <w:t xml:space="preserve"> da parte ré, </w:t>
      </w:r>
      <w:proofErr w:type="gramStart"/>
      <w:r w:rsidRPr="00446BDB">
        <w:rPr>
          <w:rFonts w:ascii="Arial" w:eastAsia="Times New Roman" w:hAnsi="Arial" w:cs="Arial"/>
          <w:i/>
          <w:iCs/>
          <w:sz w:val="24"/>
          <w:szCs w:val="24"/>
          <w:lang w:eastAsia="pt-BR"/>
        </w:rPr>
        <w:t>Homologo</w:t>
      </w:r>
      <w:proofErr w:type="gramEnd"/>
      <w:r w:rsidRPr="00446BDB">
        <w:rPr>
          <w:rFonts w:ascii="Arial" w:eastAsia="Times New Roman" w:hAnsi="Arial" w:cs="Arial"/>
          <w:i/>
          <w:iCs/>
          <w:sz w:val="24"/>
          <w:szCs w:val="24"/>
          <w:lang w:eastAsia="pt-BR"/>
        </w:rPr>
        <w:t xml:space="preserve"> a desistência da ação para os fins do art. 200, parágrafo único, do Código de Processo Civil/2015. </w:t>
      </w:r>
    </w:p>
    <w:p w:rsidR="00446BDB" w:rsidRPr="00446BDB" w:rsidRDefault="00446BDB" w:rsidP="00446BDB">
      <w:pPr>
        <w:spacing w:after="0" w:line="240" w:lineRule="auto"/>
        <w:jc w:val="both"/>
        <w:rPr>
          <w:rFonts w:ascii="Arial" w:eastAsia="Times New Roman" w:hAnsi="Arial" w:cs="Arial"/>
          <w:i/>
          <w:iCs/>
          <w:sz w:val="24"/>
          <w:szCs w:val="24"/>
          <w:lang w:eastAsia="pt-BR"/>
        </w:rPr>
      </w:pPr>
      <w:r w:rsidRPr="00446BDB">
        <w:rPr>
          <w:rFonts w:ascii="Arial" w:eastAsia="Times New Roman" w:hAnsi="Arial" w:cs="Arial"/>
          <w:i/>
          <w:iCs/>
          <w:sz w:val="24"/>
          <w:szCs w:val="24"/>
          <w:lang w:eastAsia="pt-BR"/>
        </w:rPr>
        <w:t xml:space="preserve">Em consequência, </w:t>
      </w:r>
      <w:r w:rsidRPr="00446BDB">
        <w:rPr>
          <w:rFonts w:ascii="Arial" w:eastAsia="Times New Roman" w:hAnsi="Arial" w:cs="Arial"/>
          <w:b/>
          <w:bCs/>
          <w:i/>
          <w:iCs/>
          <w:sz w:val="24"/>
          <w:szCs w:val="24"/>
          <w:lang w:eastAsia="pt-BR"/>
        </w:rPr>
        <w:t>JULGO EXTINTO O PROCESSO</w:t>
      </w:r>
      <w:r w:rsidRPr="00446BDB">
        <w:rPr>
          <w:rFonts w:ascii="Arial" w:eastAsia="Times New Roman" w:hAnsi="Arial" w:cs="Arial"/>
          <w:i/>
          <w:iCs/>
          <w:sz w:val="24"/>
          <w:szCs w:val="24"/>
          <w:lang w:eastAsia="pt-BR"/>
        </w:rPr>
        <w:t xml:space="preserve">, com fundamento no art. 485, VIII, do Código de Processo Civil." </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A redação, de fato, padece de obscuridade. Ao utilizar a expressão "a parte autora" no singular e, em seguida, determinar a extinção de "O PROCESSO" na sua totalidade, o comando judicial torna-se ambíguo. A falta de delimitação subjetiva dos efeitos da extinção cria uma fundada incerteza sobre a situação processual dos demais litisconsortes ativos – </w:t>
      </w:r>
      <w:r w:rsidRPr="00446BDB">
        <w:rPr>
          <w:rFonts w:ascii="Arial" w:eastAsia="Times New Roman" w:hAnsi="Arial" w:cs="Arial"/>
          <w:b/>
          <w:bCs/>
          <w:sz w:val="24"/>
          <w:szCs w:val="24"/>
          <w:lang w:eastAsia="pt-BR"/>
        </w:rPr>
        <w:t>JOSELINA VERAS DE ALMEIDA, DEMOSTHENES MARQUES e IRACILDA CARVALHEIROS SARMENTO</w:t>
      </w:r>
      <w:r w:rsidRPr="00446BDB">
        <w:rPr>
          <w:rFonts w:ascii="Arial" w:eastAsia="Times New Roman" w:hAnsi="Arial" w:cs="Arial"/>
          <w:sz w:val="24"/>
          <w:szCs w:val="24"/>
          <w:lang w:eastAsia="pt-BR"/>
        </w:rPr>
        <w:t xml:space="preserve"> –, que não manifestaram qualquer intenção de desistir da demanda.</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O direito de ação é personalíssimo, e a desistência, como ato de disposição voluntária do direito de demandar, produz efeitos apenas em relação a quem a manifesta, especialmente em se tratando de litisconsórcio ativo facultativo, como no presente caso. A decisão não poderia, portanto, estender </w:t>
      </w:r>
      <w:r w:rsidRPr="00446BDB">
        <w:rPr>
          <w:rFonts w:ascii="Arial" w:eastAsia="Times New Roman" w:hAnsi="Arial" w:cs="Arial"/>
          <w:sz w:val="24"/>
          <w:szCs w:val="24"/>
          <w:lang w:eastAsia="pt-BR"/>
        </w:rPr>
        <w:lastRenderedPageBreak/>
        <w:t>os efeitos da desistência de um autor aos demais, que permanecem com interesse no prosseguimento do feito.</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A existência do vício é tão evidente que os próprios réus, em suas contrarrazões (ID 147400056 e ID 147596809), reconheceram o equívoco e concordaram com a necessidade de esclarecimento para limitar os efeitos da extinção.</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Portanto, assiste plena razão à embargante, sendo imperativo o acolhimento dos embargos para sanar a obscuridade apontada e delimitar corretamente o alcance da sentença.</w:t>
      </w:r>
    </w:p>
    <w:p w:rsidR="00446BDB" w:rsidRPr="00446BDB" w:rsidRDefault="00446BDB" w:rsidP="00446BDB">
      <w:pPr>
        <w:spacing w:before="100" w:beforeAutospacing="1" w:after="100" w:afterAutospacing="1" w:line="240" w:lineRule="auto"/>
        <w:jc w:val="both"/>
        <w:outlineLvl w:val="1"/>
        <w:rPr>
          <w:rFonts w:ascii="Arial" w:eastAsia="Times New Roman" w:hAnsi="Arial" w:cs="Arial"/>
          <w:b/>
          <w:bCs/>
          <w:sz w:val="24"/>
          <w:szCs w:val="24"/>
          <w:lang w:eastAsia="pt-BR"/>
        </w:rPr>
      </w:pPr>
      <w:r w:rsidRPr="00446BDB">
        <w:rPr>
          <w:rFonts w:ascii="Arial" w:eastAsia="Times New Roman" w:hAnsi="Arial" w:cs="Arial"/>
          <w:b/>
          <w:bCs/>
          <w:sz w:val="24"/>
          <w:szCs w:val="24"/>
          <w:lang w:eastAsia="pt-BR"/>
        </w:rPr>
        <w:t>2.3. Da Manifestação da BB Previdência e da Necessária Regularização Processual</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A petição apresentada pela </w:t>
      </w:r>
      <w:r w:rsidRPr="00446BDB">
        <w:rPr>
          <w:rFonts w:ascii="Arial" w:eastAsia="Times New Roman" w:hAnsi="Arial" w:cs="Arial"/>
          <w:b/>
          <w:bCs/>
          <w:sz w:val="24"/>
          <w:szCs w:val="24"/>
          <w:lang w:eastAsia="pt-BR"/>
        </w:rPr>
        <w:t>BB PREVIDÊNCIA – FUNDO DE PENSÃO BANCO DO BRASIL</w:t>
      </w:r>
      <w:r w:rsidRPr="00446BDB">
        <w:rPr>
          <w:rFonts w:ascii="Arial" w:eastAsia="Times New Roman" w:hAnsi="Arial" w:cs="Arial"/>
          <w:sz w:val="24"/>
          <w:szCs w:val="24"/>
          <w:lang w:eastAsia="pt-BR"/>
        </w:rPr>
        <w:t xml:space="preserve"> (ID 146944443) merece acolhida no que tange à necessidade de regularização da autuação e das comunicações processuais.</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Conforme se extrai da petição de ID 109873805 e do despacho de ID 139746193, foi deferida a substituição processual da ré CAPAF pela BB PREVIDÊNCIA no que concerne, exclusivamente, ao autor </w:t>
      </w:r>
      <w:r w:rsidRPr="00446BDB">
        <w:rPr>
          <w:rFonts w:ascii="Arial" w:eastAsia="Times New Roman" w:hAnsi="Arial" w:cs="Arial"/>
          <w:b/>
          <w:bCs/>
          <w:sz w:val="24"/>
          <w:szCs w:val="24"/>
          <w:lang w:eastAsia="pt-BR"/>
        </w:rPr>
        <w:t>DEMOSTHENES MARQUES</w:t>
      </w:r>
      <w:r w:rsidRPr="00446BDB">
        <w:rPr>
          <w:rFonts w:ascii="Arial" w:eastAsia="Times New Roman" w:hAnsi="Arial" w:cs="Arial"/>
          <w:sz w:val="24"/>
          <w:szCs w:val="24"/>
          <w:lang w:eastAsia="pt-BR"/>
        </w:rPr>
        <w:t>, em razão da transferência de gerenciamento de seu plano de benefícios.</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Contudo, a entidade alega, e a análise dos autos confirma, que a autuação do processo não foi devidamente atualizada para refletir essa substituição, e, como consequência, não foi intimada da sentença de extinção, o que representa falha no procedimento que deve ser corrigida para garantir a higidez dos atos processuais futuros. A correção do polo passivo e do cadastro de advogados é medida que se impõe para assegurar o devido processo legal, o contraditório e a ampla defesa.</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Com o provimento dos presentes embargos e o consequente prosseguimento do feito em relação ao autor DEMOSTHENES MARQUES, a regularização torna-se ainda mais crucial.</w:t>
      </w:r>
    </w:p>
    <w:p w:rsidR="00446BDB" w:rsidRPr="00446BDB" w:rsidRDefault="00446BDB" w:rsidP="00446BDB">
      <w:pPr>
        <w:spacing w:before="100" w:beforeAutospacing="1" w:after="100" w:afterAutospacing="1" w:line="240" w:lineRule="auto"/>
        <w:jc w:val="both"/>
        <w:outlineLvl w:val="0"/>
        <w:rPr>
          <w:rFonts w:ascii="Arial" w:eastAsia="Times New Roman" w:hAnsi="Arial" w:cs="Arial"/>
          <w:b/>
          <w:bCs/>
          <w:kern w:val="36"/>
          <w:sz w:val="24"/>
          <w:szCs w:val="24"/>
          <w:lang w:eastAsia="pt-BR"/>
        </w:rPr>
      </w:pPr>
      <w:r w:rsidRPr="00446BDB">
        <w:rPr>
          <w:rFonts w:ascii="Arial" w:eastAsia="Times New Roman" w:hAnsi="Arial" w:cs="Arial"/>
          <w:b/>
          <w:bCs/>
          <w:kern w:val="36"/>
          <w:sz w:val="24"/>
          <w:szCs w:val="24"/>
          <w:lang w:eastAsia="pt-BR"/>
        </w:rPr>
        <w:t>3. DISPOSITIVO</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Ante o exposto, e por tudo mais que dos autos consta:</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a) </w:t>
      </w:r>
      <w:r w:rsidRPr="00446BDB">
        <w:rPr>
          <w:rFonts w:ascii="Arial" w:eastAsia="Times New Roman" w:hAnsi="Arial" w:cs="Arial"/>
          <w:b/>
          <w:bCs/>
          <w:sz w:val="24"/>
          <w:szCs w:val="24"/>
          <w:lang w:eastAsia="pt-BR"/>
        </w:rPr>
        <w:t>CONHEÇO</w:t>
      </w:r>
      <w:r w:rsidRPr="00446BDB">
        <w:rPr>
          <w:rFonts w:ascii="Arial" w:eastAsia="Times New Roman" w:hAnsi="Arial" w:cs="Arial"/>
          <w:sz w:val="24"/>
          <w:szCs w:val="24"/>
          <w:lang w:eastAsia="pt-BR"/>
        </w:rPr>
        <w:t xml:space="preserve"> dos Embargos de Declaração opostos por </w:t>
      </w:r>
      <w:r w:rsidRPr="00446BDB">
        <w:rPr>
          <w:rFonts w:ascii="Arial" w:eastAsia="Times New Roman" w:hAnsi="Arial" w:cs="Arial"/>
          <w:b/>
          <w:bCs/>
          <w:sz w:val="24"/>
          <w:szCs w:val="24"/>
          <w:lang w:eastAsia="pt-BR"/>
        </w:rPr>
        <w:t>YOLANDA GERALDO DA SILVA</w:t>
      </w:r>
      <w:r w:rsidRPr="00446BDB">
        <w:rPr>
          <w:rFonts w:ascii="Arial" w:eastAsia="Times New Roman" w:hAnsi="Arial" w:cs="Arial"/>
          <w:sz w:val="24"/>
          <w:szCs w:val="24"/>
          <w:lang w:eastAsia="pt-BR"/>
        </w:rPr>
        <w:t xml:space="preserve"> (ID 145622134), por serem tempestivos e preencherem os requisitos legais, e, no mérito, </w:t>
      </w:r>
      <w:r w:rsidRPr="00446BDB">
        <w:rPr>
          <w:rFonts w:ascii="Arial" w:eastAsia="Times New Roman" w:hAnsi="Arial" w:cs="Arial"/>
          <w:b/>
          <w:bCs/>
          <w:sz w:val="24"/>
          <w:szCs w:val="24"/>
          <w:lang w:eastAsia="pt-BR"/>
        </w:rPr>
        <w:t>DOU-LHES INTEGRAL PROVIMENTO</w:t>
      </w:r>
      <w:r w:rsidRPr="00446BDB">
        <w:rPr>
          <w:rFonts w:ascii="Arial" w:eastAsia="Times New Roman" w:hAnsi="Arial" w:cs="Arial"/>
          <w:sz w:val="24"/>
          <w:szCs w:val="24"/>
          <w:lang w:eastAsia="pt-BR"/>
        </w:rPr>
        <w:t>, para, sanando a obscuridade apontada, integrar a sentença de ID 144969564, que passa a ter a seguinte redação em seu dispositivo:</w:t>
      </w:r>
    </w:p>
    <w:p w:rsidR="00446BDB" w:rsidRPr="00446BDB" w:rsidRDefault="00446BDB" w:rsidP="00446BDB">
      <w:pPr>
        <w:spacing w:after="0" w:line="240" w:lineRule="auto"/>
        <w:jc w:val="both"/>
        <w:rPr>
          <w:rFonts w:ascii="Arial" w:eastAsia="Times New Roman" w:hAnsi="Arial" w:cs="Arial"/>
          <w:i/>
          <w:iCs/>
          <w:sz w:val="24"/>
          <w:szCs w:val="24"/>
          <w:lang w:eastAsia="pt-BR"/>
        </w:rPr>
      </w:pPr>
      <w:r w:rsidRPr="00446BDB">
        <w:rPr>
          <w:rFonts w:ascii="Arial" w:eastAsia="Times New Roman" w:hAnsi="Arial" w:cs="Arial"/>
          <w:i/>
          <w:iCs/>
          <w:sz w:val="24"/>
          <w:szCs w:val="24"/>
          <w:lang w:eastAsia="pt-BR"/>
        </w:rPr>
        <w:t xml:space="preserve">"Isto posto, </w:t>
      </w:r>
      <w:r w:rsidRPr="00446BDB">
        <w:rPr>
          <w:rFonts w:ascii="Arial" w:eastAsia="Times New Roman" w:hAnsi="Arial" w:cs="Arial"/>
          <w:b/>
          <w:bCs/>
          <w:i/>
          <w:iCs/>
          <w:sz w:val="24"/>
          <w:szCs w:val="24"/>
          <w:lang w:eastAsia="pt-BR"/>
        </w:rPr>
        <w:t>HOMOLOGO</w:t>
      </w:r>
      <w:r w:rsidRPr="00446BDB">
        <w:rPr>
          <w:rFonts w:ascii="Arial" w:eastAsia="Times New Roman" w:hAnsi="Arial" w:cs="Arial"/>
          <w:i/>
          <w:iCs/>
          <w:sz w:val="24"/>
          <w:szCs w:val="24"/>
          <w:lang w:eastAsia="pt-BR"/>
        </w:rPr>
        <w:t xml:space="preserve">, para que produza seus jurídicos e legais efeitos, o pedido de desistência formulado pela autora </w:t>
      </w:r>
      <w:r w:rsidRPr="00446BDB">
        <w:rPr>
          <w:rFonts w:ascii="Arial" w:eastAsia="Times New Roman" w:hAnsi="Arial" w:cs="Arial"/>
          <w:b/>
          <w:bCs/>
          <w:i/>
          <w:iCs/>
          <w:sz w:val="24"/>
          <w:szCs w:val="24"/>
          <w:lang w:eastAsia="pt-BR"/>
        </w:rPr>
        <w:t>YOLANDA GERALDO DA SILVA</w:t>
      </w:r>
      <w:r w:rsidRPr="00446BDB">
        <w:rPr>
          <w:rFonts w:ascii="Arial" w:eastAsia="Times New Roman" w:hAnsi="Arial" w:cs="Arial"/>
          <w:i/>
          <w:iCs/>
          <w:sz w:val="24"/>
          <w:szCs w:val="24"/>
          <w:lang w:eastAsia="pt-BR"/>
        </w:rPr>
        <w:t xml:space="preserve"> (ID 102510692) e, em consequência, </w:t>
      </w:r>
      <w:r w:rsidRPr="00446BDB">
        <w:rPr>
          <w:rFonts w:ascii="Arial" w:eastAsia="Times New Roman" w:hAnsi="Arial" w:cs="Arial"/>
          <w:b/>
          <w:bCs/>
          <w:i/>
          <w:iCs/>
          <w:sz w:val="24"/>
          <w:szCs w:val="24"/>
          <w:lang w:eastAsia="pt-BR"/>
        </w:rPr>
        <w:t>JULGO EXTINTO O PROCESSO, SEM RESOLUÇÃO DE MÉRITO, exclusivamente em relação a ela</w:t>
      </w:r>
      <w:r w:rsidRPr="00446BDB">
        <w:rPr>
          <w:rFonts w:ascii="Arial" w:eastAsia="Times New Roman" w:hAnsi="Arial" w:cs="Arial"/>
          <w:i/>
          <w:iCs/>
          <w:sz w:val="24"/>
          <w:szCs w:val="24"/>
          <w:lang w:eastAsia="pt-BR"/>
        </w:rPr>
        <w:t xml:space="preserve">, com fundamento no artigo 485, inciso VIII, do Código de Processo Civil. </w:t>
      </w:r>
    </w:p>
    <w:p w:rsidR="00446BDB" w:rsidRPr="00446BDB" w:rsidRDefault="00446BDB" w:rsidP="00446BDB">
      <w:pPr>
        <w:spacing w:after="100" w:line="240" w:lineRule="auto"/>
        <w:jc w:val="both"/>
        <w:rPr>
          <w:rFonts w:ascii="Arial" w:eastAsia="Times New Roman" w:hAnsi="Arial" w:cs="Arial"/>
          <w:i/>
          <w:iCs/>
          <w:sz w:val="24"/>
          <w:szCs w:val="24"/>
          <w:lang w:eastAsia="pt-BR"/>
        </w:rPr>
      </w:pPr>
      <w:r w:rsidRPr="00446BDB">
        <w:rPr>
          <w:rFonts w:ascii="Arial" w:eastAsia="Times New Roman" w:hAnsi="Arial" w:cs="Arial"/>
          <w:i/>
          <w:iCs/>
          <w:sz w:val="24"/>
          <w:szCs w:val="24"/>
          <w:lang w:eastAsia="pt-BR"/>
        </w:rPr>
        <w:lastRenderedPageBreak/>
        <w:t xml:space="preserve">Condeno a autora desistente, </w:t>
      </w:r>
      <w:r w:rsidRPr="00446BDB">
        <w:rPr>
          <w:rFonts w:ascii="Arial" w:eastAsia="Times New Roman" w:hAnsi="Arial" w:cs="Arial"/>
          <w:b/>
          <w:bCs/>
          <w:i/>
          <w:iCs/>
          <w:sz w:val="24"/>
          <w:szCs w:val="24"/>
          <w:lang w:eastAsia="pt-BR"/>
        </w:rPr>
        <w:t>YOLANDA GERALDO DA SILVA</w:t>
      </w:r>
      <w:r w:rsidRPr="00446BDB">
        <w:rPr>
          <w:rFonts w:ascii="Arial" w:eastAsia="Times New Roman" w:hAnsi="Arial" w:cs="Arial"/>
          <w:i/>
          <w:iCs/>
          <w:sz w:val="24"/>
          <w:szCs w:val="24"/>
          <w:lang w:eastAsia="pt-BR"/>
        </w:rPr>
        <w:t xml:space="preserve">, ao pagamento das custas processuais proporcionais e dos honorários advocatícios em favor dos patronos dos réus, os quais fixo em 10% (dez por cento) sobre o valor atualizado da causa, na proporção de sua quota-parte na demanda, nos termos do artigo 90 do CPC, ficando a exigibilidade suspensa caso seja beneficiária da justiça gratuita. </w:t>
      </w:r>
    </w:p>
    <w:p w:rsidR="00446BDB" w:rsidRPr="00446BDB" w:rsidRDefault="00446BDB" w:rsidP="00446BDB">
      <w:pPr>
        <w:spacing w:after="100" w:line="240" w:lineRule="auto"/>
        <w:jc w:val="both"/>
        <w:rPr>
          <w:rFonts w:ascii="Arial" w:eastAsia="Times New Roman" w:hAnsi="Arial" w:cs="Arial"/>
          <w:i/>
          <w:iCs/>
          <w:sz w:val="24"/>
          <w:szCs w:val="24"/>
          <w:lang w:eastAsia="pt-BR"/>
        </w:rPr>
      </w:pPr>
      <w:r w:rsidRPr="00446BDB">
        <w:rPr>
          <w:rFonts w:ascii="Arial" w:eastAsia="Times New Roman" w:hAnsi="Arial" w:cs="Arial"/>
          <w:i/>
          <w:iCs/>
          <w:sz w:val="24"/>
          <w:szCs w:val="24"/>
          <w:lang w:eastAsia="pt-BR"/>
        </w:rPr>
        <w:t xml:space="preserve">O processo </w:t>
      </w:r>
      <w:r w:rsidRPr="00446BDB">
        <w:rPr>
          <w:rFonts w:ascii="Arial" w:eastAsia="Times New Roman" w:hAnsi="Arial" w:cs="Arial"/>
          <w:b/>
          <w:bCs/>
          <w:i/>
          <w:iCs/>
          <w:sz w:val="24"/>
          <w:szCs w:val="24"/>
          <w:lang w:eastAsia="pt-BR"/>
        </w:rPr>
        <w:t>deverá prosseguir regularmente</w:t>
      </w:r>
      <w:r w:rsidRPr="00446BDB">
        <w:rPr>
          <w:rFonts w:ascii="Arial" w:eastAsia="Times New Roman" w:hAnsi="Arial" w:cs="Arial"/>
          <w:i/>
          <w:iCs/>
          <w:sz w:val="24"/>
          <w:szCs w:val="24"/>
          <w:lang w:eastAsia="pt-BR"/>
        </w:rPr>
        <w:t xml:space="preserve"> em relação aos demais autores: </w:t>
      </w:r>
      <w:r w:rsidRPr="00446BDB">
        <w:rPr>
          <w:rFonts w:ascii="Arial" w:eastAsia="Times New Roman" w:hAnsi="Arial" w:cs="Arial"/>
          <w:b/>
          <w:bCs/>
          <w:i/>
          <w:iCs/>
          <w:sz w:val="24"/>
          <w:szCs w:val="24"/>
          <w:lang w:eastAsia="pt-BR"/>
        </w:rPr>
        <w:t>JOSELINA VERAS DE ALMEIDA, DEMOSTHENES MARQUES e IRACILDA CARVALHEIROS SARMENTO</w:t>
      </w:r>
      <w:r w:rsidRPr="00446BDB">
        <w:rPr>
          <w:rFonts w:ascii="Arial" w:eastAsia="Times New Roman" w:hAnsi="Arial" w:cs="Arial"/>
          <w:i/>
          <w:iCs/>
          <w:sz w:val="24"/>
          <w:szCs w:val="24"/>
          <w:lang w:eastAsia="pt-BR"/>
        </w:rPr>
        <w:t xml:space="preserve">." </w:t>
      </w:r>
    </w:p>
    <w:p w:rsidR="00446BDB" w:rsidRPr="00446BDB" w:rsidRDefault="00446BDB" w:rsidP="00446BDB">
      <w:pPr>
        <w:spacing w:before="120" w:after="120" w:line="240" w:lineRule="auto"/>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 xml:space="preserve">b) </w:t>
      </w:r>
      <w:r w:rsidRPr="00446BDB">
        <w:rPr>
          <w:rFonts w:ascii="Arial" w:eastAsia="Times New Roman" w:hAnsi="Arial" w:cs="Arial"/>
          <w:b/>
          <w:bCs/>
          <w:sz w:val="24"/>
          <w:szCs w:val="24"/>
          <w:lang w:eastAsia="pt-BR"/>
        </w:rPr>
        <w:t>DETERMINO</w:t>
      </w:r>
      <w:r w:rsidRPr="00446BDB">
        <w:rPr>
          <w:rFonts w:ascii="Arial" w:eastAsia="Times New Roman" w:hAnsi="Arial" w:cs="Arial"/>
          <w:sz w:val="24"/>
          <w:szCs w:val="24"/>
          <w:lang w:eastAsia="pt-BR"/>
        </w:rPr>
        <w:t xml:space="preserve"> à Secretaria deste Juízo que proceda, de imediato, com as seguintes regularizações processuais:</w:t>
      </w:r>
      <w:r w:rsidRPr="00446BDB">
        <w:rPr>
          <w:rFonts w:ascii="Arial" w:eastAsia="Times New Roman" w:hAnsi="Arial" w:cs="Arial"/>
          <w:sz w:val="24"/>
          <w:szCs w:val="24"/>
          <w:lang w:eastAsia="pt-BR"/>
        </w:rPr>
        <w:br/>
        <w:t xml:space="preserve">b.1) A retificação da autuação para fazer constar </w:t>
      </w:r>
      <w:r w:rsidRPr="00446BDB">
        <w:rPr>
          <w:rFonts w:ascii="Arial" w:eastAsia="Times New Roman" w:hAnsi="Arial" w:cs="Arial"/>
          <w:b/>
          <w:bCs/>
          <w:sz w:val="24"/>
          <w:szCs w:val="24"/>
          <w:lang w:eastAsia="pt-BR"/>
        </w:rPr>
        <w:t>BB PREVIDÊNCIA – FUNDO DE PENSÃO BANCO DO BRASIL (CNPJ nº 00.544.659/0001-09)</w:t>
      </w:r>
      <w:r w:rsidRPr="00446BDB">
        <w:rPr>
          <w:rFonts w:ascii="Arial" w:eastAsia="Times New Roman" w:hAnsi="Arial" w:cs="Arial"/>
          <w:sz w:val="24"/>
          <w:szCs w:val="24"/>
          <w:lang w:eastAsia="pt-BR"/>
        </w:rPr>
        <w:t xml:space="preserve"> como ré, na condição de substituta processual da CAIXA DE PREVIDÊNCIA COMPLEMENTAR DO BANCO DA AMAZÔNIA, exclusivamente no que tange ao autor </w:t>
      </w:r>
      <w:r w:rsidRPr="00446BDB">
        <w:rPr>
          <w:rFonts w:ascii="Arial" w:eastAsia="Times New Roman" w:hAnsi="Arial" w:cs="Arial"/>
          <w:b/>
          <w:bCs/>
          <w:sz w:val="24"/>
          <w:szCs w:val="24"/>
          <w:lang w:eastAsia="pt-BR"/>
        </w:rPr>
        <w:t>DEMOSTHENES MARQUES</w:t>
      </w:r>
      <w:r w:rsidRPr="00446BDB">
        <w:rPr>
          <w:rFonts w:ascii="Arial" w:eastAsia="Times New Roman" w:hAnsi="Arial" w:cs="Arial"/>
          <w:sz w:val="24"/>
          <w:szCs w:val="24"/>
          <w:lang w:eastAsia="pt-BR"/>
        </w:rPr>
        <w:t>;</w:t>
      </w:r>
      <w:r w:rsidRPr="00446BDB">
        <w:rPr>
          <w:rFonts w:ascii="Arial" w:eastAsia="Times New Roman" w:hAnsi="Arial" w:cs="Arial"/>
          <w:sz w:val="24"/>
          <w:szCs w:val="24"/>
          <w:lang w:eastAsia="pt-BR"/>
        </w:rPr>
        <w:br/>
        <w:t xml:space="preserve">b.2) O cadastramento dos advogados da BB PREVIDÊNCIA, em especial da Dra. </w:t>
      </w:r>
      <w:r w:rsidRPr="00446BDB">
        <w:rPr>
          <w:rFonts w:ascii="Arial" w:eastAsia="Times New Roman" w:hAnsi="Arial" w:cs="Arial"/>
          <w:b/>
          <w:bCs/>
          <w:sz w:val="24"/>
          <w:szCs w:val="24"/>
          <w:lang w:eastAsia="pt-BR"/>
        </w:rPr>
        <w:t xml:space="preserve">Maria Inês Caldeira Pereira da Silva </w:t>
      </w:r>
      <w:proofErr w:type="spellStart"/>
      <w:r w:rsidRPr="00446BDB">
        <w:rPr>
          <w:rFonts w:ascii="Arial" w:eastAsia="Times New Roman" w:hAnsi="Arial" w:cs="Arial"/>
          <w:b/>
          <w:bCs/>
          <w:sz w:val="24"/>
          <w:szCs w:val="24"/>
          <w:lang w:eastAsia="pt-BR"/>
        </w:rPr>
        <w:t>Murgel</w:t>
      </w:r>
      <w:proofErr w:type="spellEnd"/>
      <w:r w:rsidRPr="00446BDB">
        <w:rPr>
          <w:rFonts w:ascii="Arial" w:eastAsia="Times New Roman" w:hAnsi="Arial" w:cs="Arial"/>
          <w:b/>
          <w:bCs/>
          <w:sz w:val="24"/>
          <w:szCs w:val="24"/>
          <w:lang w:eastAsia="pt-BR"/>
        </w:rPr>
        <w:t xml:space="preserve"> (OAB/RJ nº 114.798)</w:t>
      </w:r>
      <w:r w:rsidRPr="00446BDB">
        <w:rPr>
          <w:rFonts w:ascii="Arial" w:eastAsia="Times New Roman" w:hAnsi="Arial" w:cs="Arial"/>
          <w:sz w:val="24"/>
          <w:szCs w:val="24"/>
          <w:lang w:eastAsia="pt-BR"/>
        </w:rPr>
        <w:t>, para que todas as futuras intimações e publicações referentes à lide envolvendo o autor DEMOSTHENES MARQUES sejam realizadas exclusivamente em seu nome, sob pena de nulidade.</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A presente decisão passa a fazer parte integrante da sentença de ID 144969564 para todos os fins de direito.</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Publique-se. Registre-se. Intimem-se.</w:t>
      </w:r>
    </w:p>
    <w:p w:rsidR="00446BDB" w:rsidRPr="00446BDB" w:rsidRDefault="00446BDB" w:rsidP="00446BDB">
      <w:pPr>
        <w:spacing w:before="240" w:after="240" w:line="240" w:lineRule="auto"/>
        <w:ind w:firstLine="1134"/>
        <w:jc w:val="both"/>
        <w:rPr>
          <w:rFonts w:ascii="Arial" w:eastAsia="Times New Roman" w:hAnsi="Arial" w:cs="Arial"/>
          <w:sz w:val="24"/>
          <w:szCs w:val="24"/>
          <w:lang w:eastAsia="pt-BR"/>
        </w:rPr>
      </w:pPr>
      <w:r w:rsidRPr="00446BDB">
        <w:rPr>
          <w:rFonts w:ascii="Arial" w:eastAsia="Times New Roman" w:hAnsi="Arial" w:cs="Arial"/>
          <w:sz w:val="24"/>
          <w:szCs w:val="24"/>
          <w:lang w:eastAsia="pt-BR"/>
        </w:rPr>
        <w:t>Após o trânsito em julgado desta decisão, retornem os autos conclusos para deliberação sobre o prosseguimento do feito em relação aos autores remanescentes.</w:t>
      </w:r>
    </w:p>
    <w:p w:rsidR="002B43EB" w:rsidRPr="00446BDB" w:rsidRDefault="002B43EB" w:rsidP="00446BDB">
      <w:pPr>
        <w:jc w:val="both"/>
        <w:rPr>
          <w:rFonts w:ascii="Arial" w:hAnsi="Arial" w:cs="Arial"/>
          <w:sz w:val="24"/>
          <w:szCs w:val="24"/>
        </w:rPr>
      </w:pPr>
    </w:p>
    <w:sectPr w:rsidR="002B43EB" w:rsidRPr="00446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BDB"/>
    <w:rsid w:val="002B43EB"/>
    <w:rsid w:val="00446B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9EFB"/>
  <w15:chartTrackingRefBased/>
  <w15:docId w15:val="{E9F92D5F-AB56-4D91-B6B0-03F919DE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446B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46BD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6BD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46BDB"/>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446BD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46B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084524">
      <w:bodyDiv w:val="1"/>
      <w:marLeft w:val="0"/>
      <w:marRight w:val="0"/>
      <w:marTop w:val="0"/>
      <w:marBottom w:val="0"/>
      <w:divBdr>
        <w:top w:val="none" w:sz="0" w:space="0" w:color="auto"/>
        <w:left w:val="none" w:sz="0" w:space="0" w:color="auto"/>
        <w:bottom w:val="none" w:sz="0" w:space="0" w:color="auto"/>
        <w:right w:val="none" w:sz="0" w:space="0" w:color="auto"/>
      </w:divBdr>
      <w:divsChild>
        <w:div w:id="83112670">
          <w:marLeft w:val="0"/>
          <w:marRight w:val="0"/>
          <w:marTop w:val="0"/>
          <w:marBottom w:val="0"/>
          <w:divBdr>
            <w:top w:val="none" w:sz="0" w:space="0" w:color="auto"/>
            <w:left w:val="none" w:sz="0" w:space="0" w:color="auto"/>
            <w:bottom w:val="none" w:sz="0" w:space="0" w:color="auto"/>
            <w:right w:val="none" w:sz="0" w:space="0" w:color="auto"/>
          </w:divBdr>
          <w:divsChild>
            <w:div w:id="1200823531">
              <w:marLeft w:val="1440"/>
              <w:marRight w:val="0"/>
              <w:marTop w:val="0"/>
              <w:marBottom w:val="0"/>
              <w:divBdr>
                <w:top w:val="none" w:sz="0" w:space="0" w:color="auto"/>
                <w:left w:val="none" w:sz="0" w:space="0" w:color="auto"/>
                <w:bottom w:val="none" w:sz="0" w:space="0" w:color="auto"/>
                <w:right w:val="none" w:sz="0" w:space="0" w:color="auto"/>
              </w:divBdr>
            </w:div>
          </w:divsChild>
        </w:div>
        <w:div w:id="2026858613">
          <w:marLeft w:val="0"/>
          <w:marRight w:val="0"/>
          <w:marTop w:val="0"/>
          <w:marBottom w:val="0"/>
          <w:divBdr>
            <w:top w:val="none" w:sz="0" w:space="0" w:color="auto"/>
            <w:left w:val="none" w:sz="0" w:space="0" w:color="auto"/>
            <w:bottom w:val="none" w:sz="0" w:space="0" w:color="auto"/>
            <w:right w:val="none" w:sz="0" w:space="0" w:color="auto"/>
          </w:divBdr>
          <w:divsChild>
            <w:div w:id="330645154">
              <w:marLeft w:val="1440"/>
              <w:marRight w:val="0"/>
              <w:marTop w:val="0"/>
              <w:marBottom w:val="0"/>
              <w:divBdr>
                <w:top w:val="none" w:sz="0" w:space="0" w:color="auto"/>
                <w:left w:val="none" w:sz="0" w:space="0" w:color="auto"/>
                <w:bottom w:val="none" w:sz="0" w:space="0" w:color="auto"/>
                <w:right w:val="none" w:sz="0" w:space="0" w:color="auto"/>
              </w:divBdr>
            </w:div>
          </w:divsChild>
        </w:div>
        <w:div w:id="1404715266">
          <w:marLeft w:val="0"/>
          <w:marRight w:val="0"/>
          <w:marTop w:val="0"/>
          <w:marBottom w:val="0"/>
          <w:divBdr>
            <w:top w:val="none" w:sz="0" w:space="0" w:color="auto"/>
            <w:left w:val="none" w:sz="0" w:space="0" w:color="auto"/>
            <w:bottom w:val="none" w:sz="0" w:space="0" w:color="auto"/>
            <w:right w:val="none" w:sz="0" w:space="0" w:color="auto"/>
          </w:divBdr>
          <w:divsChild>
            <w:div w:id="1940335484">
              <w:marLeft w:val="1440"/>
              <w:marRight w:val="0"/>
              <w:marTop w:val="0"/>
              <w:marBottom w:val="0"/>
              <w:divBdr>
                <w:top w:val="none" w:sz="0" w:space="0" w:color="auto"/>
                <w:left w:val="none" w:sz="0" w:space="0" w:color="auto"/>
                <w:bottom w:val="none" w:sz="0" w:space="0" w:color="auto"/>
                <w:right w:val="none" w:sz="0" w:space="0" w:color="auto"/>
              </w:divBdr>
            </w:div>
          </w:divsChild>
        </w:div>
        <w:div w:id="1775979721">
          <w:marLeft w:val="0"/>
          <w:marRight w:val="0"/>
          <w:marTop w:val="0"/>
          <w:marBottom w:val="0"/>
          <w:divBdr>
            <w:top w:val="none" w:sz="0" w:space="0" w:color="auto"/>
            <w:left w:val="none" w:sz="0" w:space="0" w:color="auto"/>
            <w:bottom w:val="none" w:sz="0" w:space="0" w:color="auto"/>
            <w:right w:val="none" w:sz="0" w:space="0" w:color="auto"/>
          </w:divBdr>
          <w:divsChild>
            <w:div w:id="981885535">
              <w:marLeft w:val="1440"/>
              <w:marRight w:val="0"/>
              <w:marTop w:val="0"/>
              <w:marBottom w:val="0"/>
              <w:divBdr>
                <w:top w:val="none" w:sz="0" w:space="0" w:color="auto"/>
                <w:left w:val="none" w:sz="0" w:space="0" w:color="auto"/>
                <w:bottom w:val="none" w:sz="0" w:space="0" w:color="auto"/>
                <w:right w:val="none" w:sz="0" w:space="0" w:color="auto"/>
              </w:divBdr>
              <w:divsChild>
                <w:div w:id="13456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5213840">
          <w:marLeft w:val="0"/>
          <w:marRight w:val="0"/>
          <w:marTop w:val="0"/>
          <w:marBottom w:val="0"/>
          <w:divBdr>
            <w:top w:val="none" w:sz="0" w:space="0" w:color="auto"/>
            <w:left w:val="none" w:sz="0" w:space="0" w:color="auto"/>
            <w:bottom w:val="none" w:sz="0" w:space="0" w:color="auto"/>
            <w:right w:val="none" w:sz="0" w:space="0" w:color="auto"/>
          </w:divBdr>
          <w:divsChild>
            <w:div w:id="655453475">
              <w:marLeft w:val="1440"/>
              <w:marRight w:val="0"/>
              <w:marTop w:val="0"/>
              <w:marBottom w:val="0"/>
              <w:divBdr>
                <w:top w:val="none" w:sz="0" w:space="0" w:color="auto"/>
                <w:left w:val="none" w:sz="0" w:space="0" w:color="auto"/>
                <w:bottom w:val="none" w:sz="0" w:space="0" w:color="auto"/>
                <w:right w:val="none" w:sz="0" w:space="0" w:color="auto"/>
              </w:divBdr>
              <w:divsChild>
                <w:div w:id="1420983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1437</Words>
  <Characters>7766</Characters>
  <Application>Microsoft Office Word</Application>
  <DocSecurity>0</DocSecurity>
  <Lines>64</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2026-05-01T22:32:00Z</dcterms:created>
  <dcterms:modified xsi:type="dcterms:W3CDTF">2026-05-01T22:33:00Z</dcterms:modified>
</cp:coreProperties>
</file>