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55259" w:rsidRPr="00B55259" w:rsidRDefault="00B55259" w:rsidP="00B55259">
      <w:pPr>
        <w:spacing w:before="480" w:after="480" w:line="240" w:lineRule="auto"/>
        <w:jc w:val="both"/>
        <w:rPr>
          <w:rFonts w:ascii="Arial" w:eastAsia="Times New Roman" w:hAnsi="Arial" w:cs="Arial"/>
          <w:bCs/>
          <w:sz w:val="24"/>
          <w:szCs w:val="24"/>
          <w:lang w:eastAsia="pt-BR"/>
        </w:rPr>
      </w:pPr>
      <w:r w:rsidRPr="00B55259">
        <w:rPr>
          <w:rFonts w:ascii="Arial" w:eastAsia="Times New Roman" w:hAnsi="Arial" w:cs="Arial"/>
          <w:bCs/>
          <w:sz w:val="24"/>
          <w:szCs w:val="24"/>
          <w:lang w:eastAsia="pt-BR"/>
        </w:rPr>
        <w:t>PROCESSO Nº 0832329-74.2019.8.14.0301</w:t>
      </w:r>
    </w:p>
    <w:p w:rsidR="00B55259" w:rsidRPr="00B55259" w:rsidRDefault="00B55259" w:rsidP="00B55259">
      <w:pPr>
        <w:spacing w:before="480" w:after="480" w:line="240" w:lineRule="auto"/>
        <w:jc w:val="both"/>
        <w:rPr>
          <w:rFonts w:ascii="Arial" w:eastAsia="Times New Roman" w:hAnsi="Arial" w:cs="Arial"/>
          <w:sz w:val="24"/>
          <w:szCs w:val="24"/>
          <w:lang w:eastAsia="pt-BR"/>
        </w:rPr>
      </w:pPr>
      <w:r>
        <w:rPr>
          <w:rFonts w:ascii="Arial" w:eastAsia="Times New Roman" w:hAnsi="Arial" w:cs="Arial"/>
          <w:b/>
          <w:bCs/>
          <w:sz w:val="24"/>
          <w:szCs w:val="24"/>
          <w:lang w:eastAsia="pt-BR"/>
        </w:rPr>
        <w:t>SENTENÇA</w:t>
      </w:r>
    </w:p>
    <w:p w:rsidR="00B55259" w:rsidRPr="00B55259" w:rsidRDefault="00B55259" w:rsidP="00B55259">
      <w:pPr>
        <w:spacing w:before="100" w:beforeAutospacing="1" w:after="100" w:afterAutospacing="1" w:line="240" w:lineRule="auto"/>
        <w:jc w:val="both"/>
        <w:outlineLvl w:val="0"/>
        <w:rPr>
          <w:rFonts w:ascii="Arial" w:eastAsia="Times New Roman" w:hAnsi="Arial" w:cs="Arial"/>
          <w:b/>
          <w:bCs/>
          <w:kern w:val="36"/>
          <w:sz w:val="24"/>
          <w:szCs w:val="24"/>
          <w:lang w:eastAsia="pt-BR"/>
        </w:rPr>
      </w:pPr>
      <w:r w:rsidRPr="00B55259">
        <w:rPr>
          <w:rFonts w:ascii="Arial" w:eastAsia="Times New Roman" w:hAnsi="Arial" w:cs="Arial"/>
          <w:b/>
          <w:bCs/>
          <w:kern w:val="36"/>
          <w:sz w:val="24"/>
          <w:szCs w:val="24"/>
          <w:lang w:eastAsia="pt-BR"/>
        </w:rPr>
        <w:t>1. RELATÓRIO</w:t>
      </w:r>
    </w:p>
    <w:p w:rsidR="00B55259" w:rsidRPr="00B55259" w:rsidRDefault="00B55259" w:rsidP="004A7FCD">
      <w:pPr>
        <w:spacing w:before="240" w:after="240" w:line="240" w:lineRule="auto"/>
        <w:jc w:val="both"/>
        <w:rPr>
          <w:rFonts w:ascii="Arial" w:eastAsia="Times New Roman" w:hAnsi="Arial" w:cs="Arial"/>
          <w:sz w:val="24"/>
          <w:szCs w:val="24"/>
          <w:lang w:eastAsia="pt-BR"/>
        </w:rPr>
      </w:pPr>
      <w:r w:rsidRPr="00B55259">
        <w:rPr>
          <w:rFonts w:ascii="Arial" w:eastAsia="Times New Roman" w:hAnsi="Arial" w:cs="Arial"/>
          <w:b/>
          <w:bCs/>
          <w:sz w:val="24"/>
          <w:szCs w:val="24"/>
          <w:lang w:eastAsia="pt-BR"/>
        </w:rPr>
        <w:t>SULMÓVEIS TRANSPORTES LTDA.</w:t>
      </w:r>
      <w:r w:rsidRPr="00B55259">
        <w:rPr>
          <w:rFonts w:ascii="Arial" w:eastAsia="Times New Roman" w:hAnsi="Arial" w:cs="Arial"/>
          <w:sz w:val="24"/>
          <w:szCs w:val="24"/>
          <w:lang w:eastAsia="pt-BR"/>
        </w:rPr>
        <w:t xml:space="preserve">, empresa devidamente qualificada nos autos, ajuizou a presente </w:t>
      </w:r>
      <w:r w:rsidRPr="00B55259">
        <w:rPr>
          <w:rFonts w:ascii="Arial" w:eastAsia="Times New Roman" w:hAnsi="Arial" w:cs="Arial"/>
          <w:b/>
          <w:bCs/>
          <w:sz w:val="24"/>
          <w:szCs w:val="24"/>
          <w:lang w:eastAsia="pt-BR"/>
        </w:rPr>
        <w:t>Ação Monitória</w:t>
      </w:r>
      <w:r w:rsidRPr="00B55259">
        <w:rPr>
          <w:rFonts w:ascii="Arial" w:eastAsia="Times New Roman" w:hAnsi="Arial" w:cs="Arial"/>
          <w:sz w:val="24"/>
          <w:szCs w:val="24"/>
          <w:lang w:eastAsia="pt-BR"/>
        </w:rPr>
        <w:t xml:space="preserve"> em face de </w:t>
      </w:r>
      <w:r w:rsidRPr="00B55259">
        <w:rPr>
          <w:rFonts w:ascii="Arial" w:eastAsia="Times New Roman" w:hAnsi="Arial" w:cs="Arial"/>
          <w:b/>
          <w:bCs/>
          <w:sz w:val="24"/>
          <w:szCs w:val="24"/>
          <w:lang w:eastAsia="pt-BR"/>
        </w:rPr>
        <w:t>J. O. COMÉRCIO DE MÓVEIS LTDA - ME</w:t>
      </w:r>
      <w:r w:rsidRPr="00B55259">
        <w:rPr>
          <w:rFonts w:ascii="Arial" w:eastAsia="Times New Roman" w:hAnsi="Arial" w:cs="Arial"/>
          <w:sz w:val="24"/>
          <w:szCs w:val="24"/>
          <w:lang w:eastAsia="pt-BR"/>
        </w:rPr>
        <w:t xml:space="preserve"> em 13 de junho de 2019. A pretensão inicial fundamentou-se no inadimplemento de obrigações decorrentes da prestação de serviços de transporte de cargas, instruindo o pedido com duplicatas, notas fiscais e instrumentos de protesto que somavam, à época da autuação, o valor de </w:t>
      </w:r>
      <w:r w:rsidRPr="00B55259">
        <w:rPr>
          <w:rFonts w:ascii="Arial" w:eastAsia="Times New Roman" w:hAnsi="Arial" w:cs="Arial"/>
          <w:b/>
          <w:bCs/>
          <w:sz w:val="24"/>
          <w:szCs w:val="24"/>
          <w:lang w:eastAsia="pt-BR"/>
        </w:rPr>
        <w:t>R$ 693,53</w:t>
      </w:r>
      <w:r w:rsidRPr="00B55259">
        <w:rPr>
          <w:rFonts w:ascii="Arial" w:eastAsia="Times New Roman" w:hAnsi="Arial" w:cs="Arial"/>
          <w:sz w:val="24"/>
          <w:szCs w:val="24"/>
          <w:lang w:eastAsia="pt-BR"/>
        </w:rPr>
        <w:t xml:space="preserve"> (seiscentos e noventa e três reais e cinquenta e três centavos). A parte autora alegou ter esgotado as tentativas de cobrança amigável, justificando a necessidade da intervenção judicial para a constituição de título executivo judicial, nos termos da legislação processual civil então vigente.</w:t>
      </w:r>
    </w:p>
    <w:p w:rsidR="00B55259" w:rsidRPr="00B55259" w:rsidRDefault="00B55259" w:rsidP="004A7FCD">
      <w:pPr>
        <w:spacing w:before="240" w:after="240" w:line="240" w:lineRule="auto"/>
        <w:jc w:val="both"/>
        <w:rPr>
          <w:rFonts w:ascii="Arial" w:eastAsia="Times New Roman" w:hAnsi="Arial" w:cs="Arial"/>
          <w:sz w:val="24"/>
          <w:szCs w:val="24"/>
          <w:lang w:eastAsia="pt-BR"/>
        </w:rPr>
      </w:pPr>
      <w:r w:rsidRPr="00B55259">
        <w:rPr>
          <w:rFonts w:ascii="Arial" w:eastAsia="Times New Roman" w:hAnsi="Arial" w:cs="Arial"/>
          <w:sz w:val="24"/>
          <w:szCs w:val="24"/>
          <w:lang w:eastAsia="pt-BR"/>
        </w:rPr>
        <w:t>O trâmite processual, contudo, enfrentou severos obstáculos logo em sua fase inicial, especificamente no que tange à formação da relação jurídica processual. A primeira tentativa de citação da requerida, direcionada ao endereço constante em seu registro cadastral na Avenida Principal, nº 28, Conjunto Maguari, restou infrutífera. O Oficial de Justiça, ao diligenciar no local, certificou a impossibilidade de realizar o ato, informando que a empresa demandada não mais exercia suas atividades naquele endereço, conforme se extrai da certidão negativa juntada aos autos em junho de 2020. Diante deste cenário, a requerente foi intimada a se manifestar e indicar novos endereços aptos a viabilizar a citação.</w:t>
      </w:r>
    </w:p>
    <w:p w:rsidR="00B55259" w:rsidRPr="00B55259" w:rsidRDefault="00B55259" w:rsidP="004A7FCD">
      <w:pPr>
        <w:spacing w:before="240" w:after="240" w:line="240" w:lineRule="auto"/>
        <w:jc w:val="both"/>
        <w:rPr>
          <w:rFonts w:ascii="Arial" w:eastAsia="Times New Roman" w:hAnsi="Arial" w:cs="Arial"/>
          <w:sz w:val="24"/>
          <w:szCs w:val="24"/>
          <w:lang w:eastAsia="pt-BR"/>
        </w:rPr>
      </w:pPr>
      <w:bookmarkStart w:id="0" w:name="_GoBack"/>
      <w:bookmarkEnd w:id="0"/>
      <w:r w:rsidRPr="00B55259">
        <w:rPr>
          <w:rFonts w:ascii="Arial" w:eastAsia="Times New Roman" w:hAnsi="Arial" w:cs="Arial"/>
          <w:sz w:val="24"/>
          <w:szCs w:val="24"/>
          <w:lang w:eastAsia="pt-BR"/>
        </w:rPr>
        <w:t xml:space="preserve">Buscando o prosseguimento do feito, a parte autora peticionou requerendo a citação da empresa na pessoa de seus sócios-administradores, </w:t>
      </w:r>
      <w:r w:rsidRPr="00B55259">
        <w:rPr>
          <w:rFonts w:ascii="Arial" w:eastAsia="Times New Roman" w:hAnsi="Arial" w:cs="Arial"/>
          <w:b/>
          <w:bCs/>
          <w:sz w:val="24"/>
          <w:szCs w:val="24"/>
          <w:lang w:eastAsia="pt-BR"/>
        </w:rPr>
        <w:t>João Nicolau Azevedo Costa</w:t>
      </w:r>
      <w:r w:rsidRPr="00B55259">
        <w:rPr>
          <w:rFonts w:ascii="Arial" w:eastAsia="Times New Roman" w:hAnsi="Arial" w:cs="Arial"/>
          <w:sz w:val="24"/>
          <w:szCs w:val="24"/>
          <w:lang w:eastAsia="pt-BR"/>
        </w:rPr>
        <w:t xml:space="preserve"> e </w:t>
      </w:r>
      <w:proofErr w:type="spellStart"/>
      <w:r w:rsidRPr="00B55259">
        <w:rPr>
          <w:rFonts w:ascii="Arial" w:eastAsia="Times New Roman" w:hAnsi="Arial" w:cs="Arial"/>
          <w:b/>
          <w:bCs/>
          <w:sz w:val="24"/>
          <w:szCs w:val="24"/>
          <w:lang w:eastAsia="pt-BR"/>
        </w:rPr>
        <w:t>Osvaldina</w:t>
      </w:r>
      <w:proofErr w:type="spellEnd"/>
      <w:r w:rsidRPr="00B55259">
        <w:rPr>
          <w:rFonts w:ascii="Arial" w:eastAsia="Times New Roman" w:hAnsi="Arial" w:cs="Arial"/>
          <w:b/>
          <w:bCs/>
          <w:sz w:val="24"/>
          <w:szCs w:val="24"/>
          <w:lang w:eastAsia="pt-BR"/>
        </w:rPr>
        <w:t xml:space="preserve"> Mendes Soares</w:t>
      </w:r>
      <w:r w:rsidRPr="00B55259">
        <w:rPr>
          <w:rFonts w:ascii="Arial" w:eastAsia="Times New Roman" w:hAnsi="Arial" w:cs="Arial"/>
          <w:sz w:val="24"/>
          <w:szCs w:val="24"/>
          <w:lang w:eastAsia="pt-BR"/>
        </w:rPr>
        <w:t>, fornecendo endereços residenciais localizados na Rodovia Augusto Montenegro e na Rodovia Mário Covas. Novas diligências foram determinadas por este juízo, porém, novamente, os mandados retornaram sem cumprimento. Em uma das ocasiões, o auxiliar da justiça registrou que os sócios eram desconhecidos no local ou que as informações prestadas por porteiros de residenciais indicavam que os citandos não residiam nas unidades apontadas, conforme certidões de ID 17919096 e ID 77070862.</w:t>
      </w:r>
    </w:p>
    <w:p w:rsidR="00B55259" w:rsidRPr="00B55259" w:rsidRDefault="00B55259" w:rsidP="00B55259">
      <w:pPr>
        <w:spacing w:before="240" w:after="240" w:line="240" w:lineRule="auto"/>
        <w:ind w:firstLine="1134"/>
        <w:jc w:val="both"/>
        <w:rPr>
          <w:rFonts w:ascii="Arial" w:eastAsia="Times New Roman" w:hAnsi="Arial" w:cs="Arial"/>
          <w:sz w:val="24"/>
          <w:szCs w:val="24"/>
          <w:lang w:eastAsia="pt-BR"/>
        </w:rPr>
      </w:pPr>
      <w:r w:rsidRPr="00B55259">
        <w:rPr>
          <w:rFonts w:ascii="Arial" w:eastAsia="Times New Roman" w:hAnsi="Arial" w:cs="Arial"/>
          <w:sz w:val="24"/>
          <w:szCs w:val="24"/>
          <w:lang w:eastAsia="pt-BR"/>
        </w:rPr>
        <w:t xml:space="preserve">Diante da paralisação do processo e da aparente impossibilidade de localização da parte ré, este juízo proferiu sentença em 04 de junho de 2024, sob o ID 116819375, julgando extinto o processo sem resolução do mérito por ausência de pressupostos de constituição e desenvolvimento válido e regular do processo. Naquela oportunidade, entendeu-se que o ônus da localização do devedor competia exclusivamente à credora e que a máquina judiciária não poderia ser eternizada em buscas infrutíferas. Inconformada, a requerente opôs </w:t>
      </w:r>
      <w:r w:rsidRPr="00B55259">
        <w:rPr>
          <w:rFonts w:ascii="Arial" w:eastAsia="Times New Roman" w:hAnsi="Arial" w:cs="Arial"/>
          <w:b/>
          <w:bCs/>
          <w:sz w:val="24"/>
          <w:szCs w:val="24"/>
          <w:lang w:eastAsia="pt-BR"/>
        </w:rPr>
        <w:t>Embargos de Declaração</w:t>
      </w:r>
      <w:r w:rsidRPr="00B55259">
        <w:rPr>
          <w:rFonts w:ascii="Arial" w:eastAsia="Times New Roman" w:hAnsi="Arial" w:cs="Arial"/>
          <w:sz w:val="24"/>
          <w:szCs w:val="24"/>
          <w:lang w:eastAsia="pt-BR"/>
        </w:rPr>
        <w:t xml:space="preserve"> (ID 117125081), argumentando que havia recolhido as custas para pesquisas nos sistemas conveniados (SISBAJUD, INFOJUD e </w:t>
      </w:r>
      <w:r w:rsidRPr="00B55259">
        <w:rPr>
          <w:rFonts w:ascii="Arial" w:eastAsia="Times New Roman" w:hAnsi="Arial" w:cs="Arial"/>
          <w:sz w:val="24"/>
          <w:szCs w:val="24"/>
          <w:lang w:eastAsia="pt-BR"/>
        </w:rPr>
        <w:lastRenderedPageBreak/>
        <w:t>RENAJUD) e que tais pedidos ainda não haviam sido processados pela Secretaria da Vara.</w:t>
      </w:r>
    </w:p>
    <w:p w:rsidR="00B55259" w:rsidRPr="00B55259" w:rsidRDefault="00B55259" w:rsidP="00B55259">
      <w:pPr>
        <w:spacing w:before="240" w:after="240" w:line="240" w:lineRule="auto"/>
        <w:ind w:firstLine="1134"/>
        <w:jc w:val="both"/>
        <w:rPr>
          <w:rFonts w:ascii="Arial" w:eastAsia="Times New Roman" w:hAnsi="Arial" w:cs="Arial"/>
          <w:sz w:val="24"/>
          <w:szCs w:val="24"/>
          <w:lang w:eastAsia="pt-BR"/>
        </w:rPr>
      </w:pPr>
      <w:r w:rsidRPr="00B55259">
        <w:rPr>
          <w:rFonts w:ascii="Arial" w:eastAsia="Times New Roman" w:hAnsi="Arial" w:cs="Arial"/>
          <w:sz w:val="24"/>
          <w:szCs w:val="24"/>
          <w:lang w:eastAsia="pt-BR"/>
        </w:rPr>
        <w:t xml:space="preserve">A decisão de ID 134148696, datada de 21 de dezembro de 2024, acolheu os </w:t>
      </w:r>
      <w:proofErr w:type="spellStart"/>
      <w:r w:rsidRPr="00B55259">
        <w:rPr>
          <w:rFonts w:ascii="Arial" w:eastAsia="Times New Roman" w:hAnsi="Arial" w:cs="Arial"/>
          <w:sz w:val="24"/>
          <w:szCs w:val="24"/>
          <w:lang w:eastAsia="pt-BR"/>
        </w:rPr>
        <w:t>aclaratórios</w:t>
      </w:r>
      <w:proofErr w:type="spellEnd"/>
      <w:r w:rsidRPr="00B55259">
        <w:rPr>
          <w:rFonts w:ascii="Arial" w:eastAsia="Times New Roman" w:hAnsi="Arial" w:cs="Arial"/>
          <w:sz w:val="24"/>
          <w:szCs w:val="24"/>
          <w:lang w:eastAsia="pt-BR"/>
        </w:rPr>
        <w:t xml:space="preserve"> com efeitos infringentes para </w:t>
      </w:r>
      <w:r w:rsidRPr="00B55259">
        <w:rPr>
          <w:rFonts w:ascii="Arial" w:eastAsia="Times New Roman" w:hAnsi="Arial" w:cs="Arial"/>
          <w:b/>
          <w:bCs/>
          <w:sz w:val="24"/>
          <w:szCs w:val="24"/>
          <w:lang w:eastAsia="pt-BR"/>
        </w:rPr>
        <w:t>tornar sem efeito</w:t>
      </w:r>
      <w:r w:rsidRPr="00B55259">
        <w:rPr>
          <w:rFonts w:ascii="Arial" w:eastAsia="Times New Roman" w:hAnsi="Arial" w:cs="Arial"/>
          <w:sz w:val="24"/>
          <w:szCs w:val="24"/>
          <w:lang w:eastAsia="pt-BR"/>
        </w:rPr>
        <w:t xml:space="preserve"> a sentença de extinção. O juízo reconheceu a existência de erro material e determinou a continuidade do feito para que as pesquisas requeridas fossem finalmente realizadas. Contudo, em nova análise da questão, sobreveio o despacho de ID 162970649, publicado em dezembro de 2025, no qual este magistrado estabeleceu diretrizes mais rigorosas para o auxílio judicial na busca de endereços. Foi determinado que a parte autora comprovasse, de forma robusta e pormenorizada, o esgotamento de diligências extrajudiciais, incluindo consultas a concessionárias de serviços públicos, antes de se valer das ferramentas eletrônicas restritas do Poder Judiciário.</w:t>
      </w:r>
    </w:p>
    <w:p w:rsidR="00B55259" w:rsidRPr="00B55259" w:rsidRDefault="00B55259" w:rsidP="00B55259">
      <w:pPr>
        <w:spacing w:before="240" w:after="240" w:line="240" w:lineRule="auto"/>
        <w:ind w:firstLine="1134"/>
        <w:jc w:val="both"/>
        <w:rPr>
          <w:rFonts w:ascii="Arial" w:eastAsia="Times New Roman" w:hAnsi="Arial" w:cs="Arial"/>
          <w:sz w:val="24"/>
          <w:szCs w:val="24"/>
          <w:lang w:eastAsia="pt-BR"/>
        </w:rPr>
      </w:pPr>
      <w:r w:rsidRPr="00B55259">
        <w:rPr>
          <w:rFonts w:ascii="Arial" w:eastAsia="Times New Roman" w:hAnsi="Arial" w:cs="Arial"/>
          <w:sz w:val="24"/>
          <w:szCs w:val="24"/>
          <w:lang w:eastAsia="pt-BR"/>
        </w:rPr>
        <w:t xml:space="preserve">Em resposta, a parte autora apresentou a manifestação de ID 163324179 em 16 de dezembro de 2025. Em síntese, a requerente sustentou que já realizou diversas buscas administrativas, trazendo aos autos fichas cadastrais atualizadas da </w:t>
      </w:r>
      <w:r w:rsidRPr="00B55259">
        <w:rPr>
          <w:rFonts w:ascii="Arial" w:eastAsia="Times New Roman" w:hAnsi="Arial" w:cs="Arial"/>
          <w:b/>
          <w:bCs/>
          <w:sz w:val="24"/>
          <w:szCs w:val="24"/>
          <w:lang w:eastAsia="pt-BR"/>
        </w:rPr>
        <w:t>Receita Federal</w:t>
      </w:r>
      <w:r w:rsidRPr="00B55259">
        <w:rPr>
          <w:rFonts w:ascii="Arial" w:eastAsia="Times New Roman" w:hAnsi="Arial" w:cs="Arial"/>
          <w:sz w:val="24"/>
          <w:szCs w:val="24"/>
          <w:lang w:eastAsia="pt-BR"/>
        </w:rPr>
        <w:t xml:space="preserve">, que indicam a situação da empresa como "INAPTA" por omissão de declarações, e certidões da </w:t>
      </w:r>
      <w:r w:rsidRPr="00B55259">
        <w:rPr>
          <w:rFonts w:ascii="Arial" w:eastAsia="Times New Roman" w:hAnsi="Arial" w:cs="Arial"/>
          <w:b/>
          <w:bCs/>
          <w:sz w:val="24"/>
          <w:szCs w:val="24"/>
          <w:lang w:eastAsia="pt-BR"/>
        </w:rPr>
        <w:t>JUCEPA</w:t>
      </w:r>
      <w:r w:rsidRPr="00B55259">
        <w:rPr>
          <w:rFonts w:ascii="Arial" w:eastAsia="Times New Roman" w:hAnsi="Arial" w:cs="Arial"/>
          <w:sz w:val="24"/>
          <w:szCs w:val="24"/>
          <w:lang w:eastAsia="pt-BR"/>
        </w:rPr>
        <w:t xml:space="preserve"> que reiteram o endereço social antigo. Argumentou, ainda, que não detém poder coercitivo para obter dados de concessionárias protegidos por sigilo e reiterou o pedido de utilização dos sistemas SISBAJUD, INFOJUD e RENAJUD, ou, subsidiariamente, a citação por edital. Os autos vieram conclusos para decisão.</w:t>
      </w:r>
    </w:p>
    <w:p w:rsidR="00B55259" w:rsidRPr="00B55259" w:rsidRDefault="00B55259" w:rsidP="00B55259">
      <w:pPr>
        <w:spacing w:before="240" w:after="240" w:line="240" w:lineRule="auto"/>
        <w:ind w:firstLine="1134"/>
        <w:jc w:val="both"/>
        <w:rPr>
          <w:rFonts w:ascii="Arial" w:eastAsia="Times New Roman" w:hAnsi="Arial" w:cs="Arial"/>
          <w:sz w:val="24"/>
          <w:szCs w:val="24"/>
          <w:lang w:eastAsia="pt-BR"/>
        </w:rPr>
      </w:pPr>
      <w:r w:rsidRPr="00B55259">
        <w:rPr>
          <w:rFonts w:ascii="Arial" w:eastAsia="Times New Roman" w:hAnsi="Arial" w:cs="Arial"/>
          <w:sz w:val="24"/>
          <w:szCs w:val="24"/>
          <w:lang w:eastAsia="pt-BR"/>
        </w:rPr>
        <w:t>É o relatório. Segue-se a fundamentação e a decisão.</w:t>
      </w:r>
    </w:p>
    <w:p w:rsidR="00B55259" w:rsidRPr="00B55259" w:rsidRDefault="00B55259" w:rsidP="00B55259">
      <w:pPr>
        <w:spacing w:before="100" w:beforeAutospacing="1" w:after="100" w:afterAutospacing="1" w:line="240" w:lineRule="auto"/>
        <w:jc w:val="both"/>
        <w:outlineLvl w:val="0"/>
        <w:rPr>
          <w:rFonts w:ascii="Arial" w:eastAsia="Times New Roman" w:hAnsi="Arial" w:cs="Arial"/>
          <w:b/>
          <w:bCs/>
          <w:kern w:val="36"/>
          <w:sz w:val="24"/>
          <w:szCs w:val="24"/>
          <w:lang w:eastAsia="pt-BR"/>
        </w:rPr>
      </w:pPr>
      <w:r w:rsidRPr="00B55259">
        <w:rPr>
          <w:rFonts w:ascii="Arial" w:eastAsia="Times New Roman" w:hAnsi="Arial" w:cs="Arial"/>
          <w:b/>
          <w:bCs/>
          <w:kern w:val="36"/>
          <w:sz w:val="24"/>
          <w:szCs w:val="24"/>
          <w:lang w:eastAsia="pt-BR"/>
        </w:rPr>
        <w:t>2. FUNDAMENTAÇÃO JURÍDICA</w:t>
      </w:r>
    </w:p>
    <w:p w:rsidR="00B55259" w:rsidRPr="00B55259" w:rsidRDefault="00B55259" w:rsidP="00B55259">
      <w:pPr>
        <w:spacing w:before="240" w:after="240" w:line="240" w:lineRule="auto"/>
        <w:ind w:firstLine="1134"/>
        <w:jc w:val="both"/>
        <w:rPr>
          <w:rFonts w:ascii="Arial" w:eastAsia="Times New Roman" w:hAnsi="Arial" w:cs="Arial"/>
          <w:sz w:val="24"/>
          <w:szCs w:val="24"/>
          <w:lang w:eastAsia="pt-BR"/>
        </w:rPr>
      </w:pPr>
      <w:r w:rsidRPr="00B55259">
        <w:rPr>
          <w:rFonts w:ascii="Arial" w:eastAsia="Times New Roman" w:hAnsi="Arial" w:cs="Arial"/>
          <w:sz w:val="24"/>
          <w:szCs w:val="24"/>
          <w:lang w:eastAsia="pt-BR"/>
        </w:rPr>
        <w:t>A citação válida é o ato processual mais relevante para a formação da relação jurídica entre as partes e constitui pressuposto indispensável para a validade de todo o processo, conforme estabelece a norma processual civil brasileira. Sem a ciência inequívoca da parte demandada sobre a existência da lide, não se pode falar em exercício do contraditório e da ampla defesa, pilares do devido processo legal. Nesse sentido, incumbe à parte autora o ônus primário e fundamental de fornecer os dados necessários para a correta identificação e localização do réu já na petição inicial, nos termos da legislação vigente. Tal dever de diligência não se esgota com o ajuizamento da ação, mas persiste ao longo de todo o trâmite processual, exigindo que o requerente adote todas as medidas extrajudiciais ao seu alcance para viabilizar a comunicação processual.</w:t>
      </w:r>
    </w:p>
    <w:p w:rsidR="00B55259" w:rsidRPr="00B55259" w:rsidRDefault="00B55259" w:rsidP="00B55259">
      <w:pPr>
        <w:spacing w:before="240" w:after="240" w:line="240" w:lineRule="auto"/>
        <w:ind w:firstLine="1134"/>
        <w:jc w:val="both"/>
        <w:rPr>
          <w:rFonts w:ascii="Arial" w:eastAsia="Times New Roman" w:hAnsi="Arial" w:cs="Arial"/>
          <w:sz w:val="24"/>
          <w:szCs w:val="24"/>
          <w:lang w:eastAsia="pt-BR"/>
        </w:rPr>
      </w:pPr>
      <w:r w:rsidRPr="00B55259">
        <w:rPr>
          <w:rFonts w:ascii="Arial" w:eastAsia="Times New Roman" w:hAnsi="Arial" w:cs="Arial"/>
          <w:sz w:val="24"/>
          <w:szCs w:val="24"/>
          <w:lang w:eastAsia="pt-BR"/>
        </w:rPr>
        <w:t xml:space="preserve">É importante destacar que a intervenção do Poder Judiciário na localização de endereços por meio de sistemas eletrônicos conveniados, como </w:t>
      </w:r>
      <w:r w:rsidRPr="00B55259">
        <w:rPr>
          <w:rFonts w:ascii="Arial" w:eastAsia="Times New Roman" w:hAnsi="Arial" w:cs="Arial"/>
          <w:b/>
          <w:bCs/>
          <w:sz w:val="24"/>
          <w:szCs w:val="24"/>
          <w:lang w:eastAsia="pt-BR"/>
        </w:rPr>
        <w:t>SISBAJUD</w:t>
      </w:r>
      <w:r w:rsidRPr="00B55259">
        <w:rPr>
          <w:rFonts w:ascii="Arial" w:eastAsia="Times New Roman" w:hAnsi="Arial" w:cs="Arial"/>
          <w:sz w:val="24"/>
          <w:szCs w:val="24"/>
          <w:lang w:eastAsia="pt-BR"/>
        </w:rPr>
        <w:t xml:space="preserve">, </w:t>
      </w:r>
      <w:r w:rsidRPr="00B55259">
        <w:rPr>
          <w:rFonts w:ascii="Arial" w:eastAsia="Times New Roman" w:hAnsi="Arial" w:cs="Arial"/>
          <w:b/>
          <w:bCs/>
          <w:sz w:val="24"/>
          <w:szCs w:val="24"/>
          <w:lang w:eastAsia="pt-BR"/>
        </w:rPr>
        <w:t>INFOJUD</w:t>
      </w:r>
      <w:r w:rsidRPr="00B55259">
        <w:rPr>
          <w:rFonts w:ascii="Arial" w:eastAsia="Times New Roman" w:hAnsi="Arial" w:cs="Arial"/>
          <w:sz w:val="24"/>
          <w:szCs w:val="24"/>
          <w:lang w:eastAsia="pt-BR"/>
        </w:rPr>
        <w:t xml:space="preserve"> e </w:t>
      </w:r>
      <w:r w:rsidRPr="00B55259">
        <w:rPr>
          <w:rFonts w:ascii="Arial" w:eastAsia="Times New Roman" w:hAnsi="Arial" w:cs="Arial"/>
          <w:b/>
          <w:bCs/>
          <w:sz w:val="24"/>
          <w:szCs w:val="24"/>
          <w:lang w:eastAsia="pt-BR"/>
        </w:rPr>
        <w:t>RENAJUD</w:t>
      </w:r>
      <w:r w:rsidRPr="00B55259">
        <w:rPr>
          <w:rFonts w:ascii="Arial" w:eastAsia="Times New Roman" w:hAnsi="Arial" w:cs="Arial"/>
          <w:sz w:val="24"/>
          <w:szCs w:val="24"/>
          <w:lang w:eastAsia="pt-BR"/>
        </w:rPr>
        <w:t xml:space="preserve">, possui natureza estritamente subsidiária e excepcional. Essas ferramentas não foram concebidas para substituir o dever de investigação da parte interessada, nem para transformar o juízo em um escritório de busca de dados privados. A utilização de tais sistemas só se justifica quando o litigante demonstra, de forma cabal e pormenorizada, que esgotou todos os meios ordinários e razoavelmente acessíveis para encontrar o paradeiro do demandado. O auxílio jurisdicional deve ser a última alternativa, reservada para </w:t>
      </w:r>
      <w:r w:rsidRPr="00B55259">
        <w:rPr>
          <w:rFonts w:ascii="Arial" w:eastAsia="Times New Roman" w:hAnsi="Arial" w:cs="Arial"/>
          <w:sz w:val="24"/>
          <w:szCs w:val="24"/>
          <w:lang w:eastAsia="pt-BR"/>
        </w:rPr>
        <w:lastRenderedPageBreak/>
        <w:t>situações em que o obstáculo à localização se mostre de fato intransponível pelos meios comuns.</w:t>
      </w:r>
    </w:p>
    <w:p w:rsidR="00B55259" w:rsidRPr="00B55259" w:rsidRDefault="00B55259" w:rsidP="00B55259">
      <w:pPr>
        <w:spacing w:before="240" w:after="240" w:line="240" w:lineRule="auto"/>
        <w:ind w:firstLine="1134"/>
        <w:jc w:val="both"/>
        <w:rPr>
          <w:rFonts w:ascii="Arial" w:eastAsia="Times New Roman" w:hAnsi="Arial" w:cs="Arial"/>
          <w:sz w:val="24"/>
          <w:szCs w:val="24"/>
          <w:lang w:eastAsia="pt-BR"/>
        </w:rPr>
      </w:pPr>
      <w:r w:rsidRPr="00B55259">
        <w:rPr>
          <w:rFonts w:ascii="Arial" w:eastAsia="Times New Roman" w:hAnsi="Arial" w:cs="Arial"/>
          <w:sz w:val="24"/>
          <w:szCs w:val="24"/>
          <w:lang w:eastAsia="pt-BR"/>
        </w:rPr>
        <w:t>No caso concreto, este juízo proferiu decisão específica (ID 162970649) estabelecendo diretrizes claras sobre o que se esperava da parte autora para configurar o real esgotamento das diligências extrajudiciais. Foi expressamente determinado que a requerente comprovasse tentativas de localização junto a concessionárias de serviços públicos, tais como empresas de fornecimento de água, energia elétrica e telefonia, as quais detêm cadastros frequentemente mais atualizados que os registros de juntas comerciais ou da Receita Federal. A exigência baseia-se no princípio da cooperação, que impõe a todos os sujeitos do processo o dever de colaborar para a obtenção de uma decisão de mérito em tempo razoável, mas sem transferir ao Estado o ônus que é originariamente da parte.</w:t>
      </w:r>
    </w:p>
    <w:p w:rsidR="00B55259" w:rsidRPr="00B55259" w:rsidRDefault="00B55259" w:rsidP="00B55259">
      <w:pPr>
        <w:spacing w:before="240" w:after="240" w:line="240" w:lineRule="auto"/>
        <w:ind w:firstLine="1134"/>
        <w:jc w:val="both"/>
        <w:rPr>
          <w:rFonts w:ascii="Arial" w:eastAsia="Times New Roman" w:hAnsi="Arial" w:cs="Arial"/>
          <w:sz w:val="24"/>
          <w:szCs w:val="24"/>
          <w:lang w:eastAsia="pt-BR"/>
        </w:rPr>
      </w:pPr>
      <w:r w:rsidRPr="00B55259">
        <w:rPr>
          <w:rFonts w:ascii="Arial" w:eastAsia="Times New Roman" w:hAnsi="Arial" w:cs="Arial"/>
          <w:sz w:val="24"/>
          <w:szCs w:val="24"/>
          <w:lang w:eastAsia="pt-BR"/>
        </w:rPr>
        <w:t xml:space="preserve">Contudo, ao analisar a manifestação de ID 163324179 apresentada pela autora, verifica-se que não houve o cumprimento satisfatório das providências determinadas. A requerente limitou-se a reapresentar documentos da </w:t>
      </w:r>
      <w:r w:rsidRPr="00B55259">
        <w:rPr>
          <w:rFonts w:ascii="Arial" w:eastAsia="Times New Roman" w:hAnsi="Arial" w:cs="Arial"/>
          <w:b/>
          <w:bCs/>
          <w:sz w:val="24"/>
          <w:szCs w:val="24"/>
          <w:lang w:eastAsia="pt-BR"/>
        </w:rPr>
        <w:t>JUCEPA</w:t>
      </w:r>
      <w:r w:rsidRPr="00B55259">
        <w:rPr>
          <w:rFonts w:ascii="Arial" w:eastAsia="Times New Roman" w:hAnsi="Arial" w:cs="Arial"/>
          <w:sz w:val="24"/>
          <w:szCs w:val="24"/>
          <w:lang w:eastAsia="pt-BR"/>
        </w:rPr>
        <w:t xml:space="preserve"> e da </w:t>
      </w:r>
      <w:r w:rsidRPr="00B55259">
        <w:rPr>
          <w:rFonts w:ascii="Arial" w:eastAsia="Times New Roman" w:hAnsi="Arial" w:cs="Arial"/>
          <w:b/>
          <w:bCs/>
          <w:sz w:val="24"/>
          <w:szCs w:val="24"/>
          <w:lang w:eastAsia="pt-BR"/>
        </w:rPr>
        <w:t>Receita Federal</w:t>
      </w:r>
      <w:r w:rsidRPr="00B55259">
        <w:rPr>
          <w:rFonts w:ascii="Arial" w:eastAsia="Times New Roman" w:hAnsi="Arial" w:cs="Arial"/>
          <w:sz w:val="24"/>
          <w:szCs w:val="24"/>
          <w:lang w:eastAsia="pt-BR"/>
        </w:rPr>
        <w:t xml:space="preserve"> — os quais já se mostraram insuficientes para a citação em anos anteriores — e alegou, de forma genérica, não possuir poder coercitivo para obter informações de concessionárias. Ocorre que a parte sequer demonstrou ter formulado pedidos administrativos a tais empresas ou ter recebido negativas formais que justificassem a necessidade de requisição judicial. O que se observa é a tentativa de desonerar-se de seu papel diligente, buscando converter a pesquisa judicial em uma medida de rotina, o que contraria a lógica da eficiência processual.</w:t>
      </w:r>
    </w:p>
    <w:p w:rsidR="00B55259" w:rsidRPr="00B55259" w:rsidRDefault="00B55259" w:rsidP="00B55259">
      <w:pPr>
        <w:spacing w:before="240" w:after="240" w:line="240" w:lineRule="auto"/>
        <w:ind w:firstLine="1134"/>
        <w:jc w:val="both"/>
        <w:rPr>
          <w:rFonts w:ascii="Arial" w:eastAsia="Times New Roman" w:hAnsi="Arial" w:cs="Arial"/>
          <w:sz w:val="24"/>
          <w:szCs w:val="24"/>
          <w:lang w:eastAsia="pt-BR"/>
        </w:rPr>
      </w:pPr>
      <w:r w:rsidRPr="00B55259">
        <w:rPr>
          <w:rFonts w:ascii="Arial" w:eastAsia="Times New Roman" w:hAnsi="Arial" w:cs="Arial"/>
          <w:sz w:val="24"/>
          <w:szCs w:val="24"/>
          <w:lang w:eastAsia="pt-BR"/>
        </w:rPr>
        <w:t xml:space="preserve">Dessa forma, após cerca de sete anos de tramitação sem que a citação tenha sido </w:t>
      </w:r>
      <w:proofErr w:type="gramStart"/>
      <w:r w:rsidRPr="00B55259">
        <w:rPr>
          <w:rFonts w:ascii="Arial" w:eastAsia="Times New Roman" w:hAnsi="Arial" w:cs="Arial"/>
          <w:sz w:val="24"/>
          <w:szCs w:val="24"/>
          <w:lang w:eastAsia="pt-BR"/>
        </w:rPr>
        <w:t>aperfeiçoadas</w:t>
      </w:r>
      <w:proofErr w:type="gramEnd"/>
      <w:r w:rsidRPr="00B55259">
        <w:rPr>
          <w:rFonts w:ascii="Arial" w:eastAsia="Times New Roman" w:hAnsi="Arial" w:cs="Arial"/>
          <w:sz w:val="24"/>
          <w:szCs w:val="24"/>
          <w:lang w:eastAsia="pt-BR"/>
        </w:rPr>
        <w:t>, e diante da persistente insuficiência de diligências concretas por parte da requerente, a conclusão inevitável é a ausência de pressuposto de constituição e de desenvolvimento válido e regular do processo. A máquina judiciária não pode ser mantida em movimento indefinido para amparar uma demanda que sequer conseguiu ultrapassar a fase de formação do polo passivo por desídia da parte interessada em investigar o paradeiro daquele com quem contratou. Assim, a falta de uma citação válida impede o seguimento do feito e impõe a sua extinção sem o julgamento do mérito, conforme autoriza o ordenamento jurídico atual.</w:t>
      </w:r>
    </w:p>
    <w:p w:rsidR="00B55259" w:rsidRPr="00B55259" w:rsidRDefault="00B55259" w:rsidP="00B55259">
      <w:pPr>
        <w:spacing w:before="100" w:beforeAutospacing="1" w:after="100" w:afterAutospacing="1" w:line="240" w:lineRule="auto"/>
        <w:jc w:val="both"/>
        <w:outlineLvl w:val="0"/>
        <w:rPr>
          <w:rFonts w:ascii="Arial" w:eastAsia="Times New Roman" w:hAnsi="Arial" w:cs="Arial"/>
          <w:b/>
          <w:bCs/>
          <w:kern w:val="36"/>
          <w:sz w:val="24"/>
          <w:szCs w:val="24"/>
          <w:lang w:eastAsia="pt-BR"/>
        </w:rPr>
      </w:pPr>
      <w:r w:rsidRPr="00B55259">
        <w:rPr>
          <w:rFonts w:ascii="Arial" w:eastAsia="Times New Roman" w:hAnsi="Arial" w:cs="Arial"/>
          <w:b/>
          <w:bCs/>
          <w:kern w:val="36"/>
          <w:sz w:val="24"/>
          <w:szCs w:val="24"/>
          <w:lang w:eastAsia="pt-BR"/>
        </w:rPr>
        <w:t>3. DISPOSITIVO</w:t>
      </w:r>
    </w:p>
    <w:p w:rsidR="00B55259" w:rsidRPr="00B55259" w:rsidRDefault="00B55259" w:rsidP="00B55259">
      <w:pPr>
        <w:spacing w:before="240" w:after="240" w:line="240" w:lineRule="auto"/>
        <w:ind w:firstLine="1134"/>
        <w:jc w:val="both"/>
        <w:rPr>
          <w:rFonts w:ascii="Arial" w:eastAsia="Times New Roman" w:hAnsi="Arial" w:cs="Arial"/>
          <w:sz w:val="24"/>
          <w:szCs w:val="24"/>
          <w:lang w:eastAsia="pt-BR"/>
        </w:rPr>
      </w:pPr>
      <w:r w:rsidRPr="00B55259">
        <w:rPr>
          <w:rFonts w:ascii="Arial" w:eastAsia="Times New Roman" w:hAnsi="Arial" w:cs="Arial"/>
          <w:sz w:val="24"/>
          <w:szCs w:val="24"/>
          <w:lang w:eastAsia="pt-BR"/>
        </w:rPr>
        <w:t>Ante o exposto, e considerando tudo o que consta dos autos, decido o que segue:</w:t>
      </w:r>
    </w:p>
    <w:p w:rsidR="00B55259" w:rsidRPr="00B55259" w:rsidRDefault="00B55259" w:rsidP="00B55259">
      <w:pPr>
        <w:spacing w:before="240" w:after="240" w:line="240" w:lineRule="auto"/>
        <w:ind w:firstLine="1134"/>
        <w:jc w:val="both"/>
        <w:rPr>
          <w:rFonts w:ascii="Arial" w:eastAsia="Times New Roman" w:hAnsi="Arial" w:cs="Arial"/>
          <w:sz w:val="24"/>
          <w:szCs w:val="24"/>
          <w:lang w:eastAsia="pt-BR"/>
        </w:rPr>
      </w:pPr>
      <w:r w:rsidRPr="00B55259">
        <w:rPr>
          <w:rFonts w:ascii="Arial" w:eastAsia="Times New Roman" w:hAnsi="Arial" w:cs="Arial"/>
          <w:sz w:val="24"/>
          <w:szCs w:val="24"/>
          <w:lang w:eastAsia="pt-BR"/>
        </w:rPr>
        <w:t>a) indefiro o pedido de utilização dos sistemas eletrônicos de pesquisa de endereços (</w:t>
      </w:r>
      <w:r w:rsidRPr="00B55259">
        <w:rPr>
          <w:rFonts w:ascii="Arial" w:eastAsia="Times New Roman" w:hAnsi="Arial" w:cs="Arial"/>
          <w:b/>
          <w:bCs/>
          <w:sz w:val="24"/>
          <w:szCs w:val="24"/>
          <w:lang w:eastAsia="pt-BR"/>
        </w:rPr>
        <w:t>SISBAJUD</w:t>
      </w:r>
      <w:r w:rsidRPr="00B55259">
        <w:rPr>
          <w:rFonts w:ascii="Arial" w:eastAsia="Times New Roman" w:hAnsi="Arial" w:cs="Arial"/>
          <w:sz w:val="24"/>
          <w:szCs w:val="24"/>
          <w:lang w:eastAsia="pt-BR"/>
        </w:rPr>
        <w:t xml:space="preserve">, </w:t>
      </w:r>
      <w:r w:rsidRPr="00B55259">
        <w:rPr>
          <w:rFonts w:ascii="Arial" w:eastAsia="Times New Roman" w:hAnsi="Arial" w:cs="Arial"/>
          <w:b/>
          <w:bCs/>
          <w:sz w:val="24"/>
          <w:szCs w:val="24"/>
          <w:lang w:eastAsia="pt-BR"/>
        </w:rPr>
        <w:t>INFOJUD</w:t>
      </w:r>
      <w:r w:rsidRPr="00B55259">
        <w:rPr>
          <w:rFonts w:ascii="Arial" w:eastAsia="Times New Roman" w:hAnsi="Arial" w:cs="Arial"/>
          <w:sz w:val="24"/>
          <w:szCs w:val="24"/>
          <w:lang w:eastAsia="pt-BR"/>
        </w:rPr>
        <w:t xml:space="preserve">, </w:t>
      </w:r>
      <w:r w:rsidRPr="00B55259">
        <w:rPr>
          <w:rFonts w:ascii="Arial" w:eastAsia="Times New Roman" w:hAnsi="Arial" w:cs="Arial"/>
          <w:b/>
          <w:bCs/>
          <w:sz w:val="24"/>
          <w:szCs w:val="24"/>
          <w:lang w:eastAsia="pt-BR"/>
        </w:rPr>
        <w:t>RENAJUD</w:t>
      </w:r>
      <w:r w:rsidRPr="00B55259">
        <w:rPr>
          <w:rFonts w:ascii="Arial" w:eastAsia="Times New Roman" w:hAnsi="Arial" w:cs="Arial"/>
          <w:sz w:val="24"/>
          <w:szCs w:val="24"/>
          <w:lang w:eastAsia="pt-BR"/>
        </w:rPr>
        <w:t xml:space="preserve"> e </w:t>
      </w:r>
      <w:r w:rsidRPr="00B55259">
        <w:rPr>
          <w:rFonts w:ascii="Arial" w:eastAsia="Times New Roman" w:hAnsi="Arial" w:cs="Arial"/>
          <w:b/>
          <w:bCs/>
          <w:sz w:val="24"/>
          <w:szCs w:val="24"/>
          <w:lang w:eastAsia="pt-BR"/>
        </w:rPr>
        <w:t>SIEL</w:t>
      </w:r>
      <w:r w:rsidRPr="00B55259">
        <w:rPr>
          <w:rFonts w:ascii="Arial" w:eastAsia="Times New Roman" w:hAnsi="Arial" w:cs="Arial"/>
          <w:sz w:val="24"/>
          <w:szCs w:val="24"/>
          <w:lang w:eastAsia="pt-BR"/>
        </w:rPr>
        <w:t>) formulado pela parte autora no ID 163324179, uma vez que não restou demonstrado o esgotamento dos meios extrajudiciais de localização, conforme fundamentação supra;</w:t>
      </w:r>
    </w:p>
    <w:p w:rsidR="00B55259" w:rsidRPr="00B55259" w:rsidRDefault="00B55259" w:rsidP="00B55259">
      <w:pPr>
        <w:spacing w:before="240" w:after="240" w:line="240" w:lineRule="auto"/>
        <w:ind w:firstLine="1134"/>
        <w:jc w:val="both"/>
        <w:rPr>
          <w:rFonts w:ascii="Arial" w:eastAsia="Times New Roman" w:hAnsi="Arial" w:cs="Arial"/>
          <w:sz w:val="24"/>
          <w:szCs w:val="24"/>
          <w:lang w:eastAsia="pt-BR"/>
        </w:rPr>
      </w:pPr>
      <w:r w:rsidRPr="00B55259">
        <w:rPr>
          <w:rFonts w:ascii="Arial" w:eastAsia="Times New Roman" w:hAnsi="Arial" w:cs="Arial"/>
          <w:sz w:val="24"/>
          <w:szCs w:val="24"/>
          <w:lang w:eastAsia="pt-BR"/>
        </w:rPr>
        <w:t xml:space="preserve">b) julgo </w:t>
      </w:r>
      <w:r w:rsidRPr="00B55259">
        <w:rPr>
          <w:rFonts w:ascii="Arial" w:eastAsia="Times New Roman" w:hAnsi="Arial" w:cs="Arial"/>
          <w:b/>
          <w:bCs/>
          <w:sz w:val="24"/>
          <w:szCs w:val="24"/>
          <w:lang w:eastAsia="pt-BR"/>
        </w:rPr>
        <w:t>EXTINTO</w:t>
      </w:r>
      <w:r w:rsidRPr="00B55259">
        <w:rPr>
          <w:rFonts w:ascii="Arial" w:eastAsia="Times New Roman" w:hAnsi="Arial" w:cs="Arial"/>
          <w:sz w:val="24"/>
          <w:szCs w:val="24"/>
          <w:lang w:eastAsia="pt-BR"/>
        </w:rPr>
        <w:t xml:space="preserve"> o processo, sem resolução de mérito, com fundamento no artigo 485, inciso IV, do Código de Processo Civil, diante da </w:t>
      </w:r>
      <w:r w:rsidRPr="00B55259">
        <w:rPr>
          <w:rFonts w:ascii="Arial" w:eastAsia="Times New Roman" w:hAnsi="Arial" w:cs="Arial"/>
          <w:sz w:val="24"/>
          <w:szCs w:val="24"/>
          <w:lang w:eastAsia="pt-BR"/>
        </w:rPr>
        <w:lastRenderedPageBreak/>
        <w:t>ausência de pressupostos de constituição e de desenvolvimento válido e regular do processo, consubstanciada na falta de citação da parte requerida;</w:t>
      </w:r>
    </w:p>
    <w:p w:rsidR="00B55259" w:rsidRPr="00B55259" w:rsidRDefault="00B55259" w:rsidP="00B55259">
      <w:pPr>
        <w:spacing w:before="240" w:after="240" w:line="240" w:lineRule="auto"/>
        <w:ind w:firstLine="1134"/>
        <w:jc w:val="both"/>
        <w:rPr>
          <w:rFonts w:ascii="Arial" w:eastAsia="Times New Roman" w:hAnsi="Arial" w:cs="Arial"/>
          <w:sz w:val="24"/>
          <w:szCs w:val="24"/>
          <w:lang w:eastAsia="pt-BR"/>
        </w:rPr>
      </w:pPr>
      <w:r w:rsidRPr="00B55259">
        <w:rPr>
          <w:rFonts w:ascii="Arial" w:eastAsia="Times New Roman" w:hAnsi="Arial" w:cs="Arial"/>
          <w:sz w:val="24"/>
          <w:szCs w:val="24"/>
          <w:lang w:eastAsia="pt-BR"/>
        </w:rPr>
        <w:t>c) condeno a parte autora ao pagamento das custas e despesas processuais remanescentes, haja vista que sua inércia em promover as diligências necessárias deu causa à extinção prematura da demanda;</w:t>
      </w:r>
    </w:p>
    <w:p w:rsidR="00B55259" w:rsidRPr="00B55259" w:rsidRDefault="00B55259" w:rsidP="00B55259">
      <w:pPr>
        <w:spacing w:before="240" w:after="240" w:line="240" w:lineRule="auto"/>
        <w:ind w:firstLine="1134"/>
        <w:jc w:val="both"/>
        <w:rPr>
          <w:rFonts w:ascii="Arial" w:eastAsia="Times New Roman" w:hAnsi="Arial" w:cs="Arial"/>
          <w:sz w:val="24"/>
          <w:szCs w:val="24"/>
          <w:lang w:eastAsia="pt-BR"/>
        </w:rPr>
      </w:pPr>
      <w:r w:rsidRPr="00B55259">
        <w:rPr>
          <w:rFonts w:ascii="Arial" w:eastAsia="Times New Roman" w:hAnsi="Arial" w:cs="Arial"/>
          <w:sz w:val="24"/>
          <w:szCs w:val="24"/>
          <w:lang w:eastAsia="pt-BR"/>
        </w:rPr>
        <w:t xml:space="preserve">d) sem condenação em honorários advocatícios, ante a não </w:t>
      </w:r>
      <w:proofErr w:type="spellStart"/>
      <w:r w:rsidRPr="00B55259">
        <w:rPr>
          <w:rFonts w:ascii="Arial" w:eastAsia="Times New Roman" w:hAnsi="Arial" w:cs="Arial"/>
          <w:sz w:val="24"/>
          <w:szCs w:val="24"/>
          <w:lang w:eastAsia="pt-BR"/>
        </w:rPr>
        <w:t>angularização</w:t>
      </w:r>
      <w:proofErr w:type="spellEnd"/>
      <w:r w:rsidRPr="00B55259">
        <w:rPr>
          <w:rFonts w:ascii="Arial" w:eastAsia="Times New Roman" w:hAnsi="Arial" w:cs="Arial"/>
          <w:sz w:val="24"/>
          <w:szCs w:val="24"/>
          <w:lang w:eastAsia="pt-BR"/>
        </w:rPr>
        <w:t xml:space="preserve"> da relação processual.</w:t>
      </w:r>
    </w:p>
    <w:p w:rsidR="00B55259" w:rsidRPr="00B55259" w:rsidRDefault="00B55259" w:rsidP="00B55259">
      <w:pPr>
        <w:spacing w:before="240" w:after="240" w:line="240" w:lineRule="auto"/>
        <w:ind w:firstLine="1134"/>
        <w:jc w:val="both"/>
        <w:rPr>
          <w:rFonts w:ascii="Arial" w:eastAsia="Times New Roman" w:hAnsi="Arial" w:cs="Arial"/>
          <w:sz w:val="24"/>
          <w:szCs w:val="24"/>
          <w:lang w:eastAsia="pt-BR"/>
        </w:rPr>
      </w:pPr>
      <w:r w:rsidRPr="00B55259">
        <w:rPr>
          <w:rFonts w:ascii="Arial" w:eastAsia="Times New Roman" w:hAnsi="Arial" w:cs="Arial"/>
          <w:sz w:val="24"/>
          <w:szCs w:val="24"/>
          <w:lang w:eastAsia="pt-BR"/>
        </w:rPr>
        <w:t>Certifique-se o trânsito em julgado e, após o cumprimento das formalidades legais para a baixa e o pagamento das custas, arquivem-se os autos com as cautelas de estilo.</w:t>
      </w:r>
    </w:p>
    <w:p w:rsidR="00B55259" w:rsidRPr="00B55259" w:rsidRDefault="00B55259" w:rsidP="00B55259">
      <w:pPr>
        <w:spacing w:before="240" w:after="240" w:line="240" w:lineRule="auto"/>
        <w:ind w:firstLine="1134"/>
        <w:jc w:val="both"/>
        <w:rPr>
          <w:rFonts w:ascii="Arial" w:eastAsia="Times New Roman" w:hAnsi="Arial" w:cs="Arial"/>
          <w:sz w:val="24"/>
          <w:szCs w:val="24"/>
          <w:lang w:eastAsia="pt-BR"/>
        </w:rPr>
      </w:pPr>
      <w:r w:rsidRPr="00B55259">
        <w:rPr>
          <w:rFonts w:ascii="Arial" w:eastAsia="Times New Roman" w:hAnsi="Arial" w:cs="Arial"/>
          <w:sz w:val="24"/>
          <w:szCs w:val="24"/>
          <w:lang w:eastAsia="pt-BR"/>
        </w:rPr>
        <w:t>Publique-se. Registre-se. Intime-se.</w:t>
      </w:r>
    </w:p>
    <w:p w:rsidR="00D62901" w:rsidRPr="00B55259" w:rsidRDefault="00D62901" w:rsidP="00B55259">
      <w:pPr>
        <w:jc w:val="both"/>
        <w:rPr>
          <w:rFonts w:ascii="Arial" w:hAnsi="Arial" w:cs="Arial"/>
          <w:sz w:val="24"/>
          <w:szCs w:val="24"/>
        </w:rPr>
      </w:pPr>
    </w:p>
    <w:sectPr w:rsidR="00D62901" w:rsidRPr="00B55259">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55259"/>
    <w:rsid w:val="004A7FCD"/>
    <w:rsid w:val="00B55259"/>
    <w:rsid w:val="00D6290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120CCC"/>
  <w15:chartTrackingRefBased/>
  <w15:docId w15:val="{9D25A2BC-FB3D-4217-82A3-B5435AFA70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link w:val="Ttulo1Char"/>
    <w:uiPriority w:val="9"/>
    <w:qFormat/>
    <w:rsid w:val="00B55259"/>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B55259"/>
    <w:rPr>
      <w:rFonts w:ascii="Times New Roman" w:eastAsia="Times New Roman" w:hAnsi="Times New Roman" w:cs="Times New Roman"/>
      <w:b/>
      <w:bCs/>
      <w:kern w:val="36"/>
      <w:sz w:val="48"/>
      <w:szCs w:val="48"/>
      <w:lang w:eastAsia="pt-BR"/>
    </w:rPr>
  </w:style>
  <w:style w:type="paragraph" w:styleId="NormalWeb">
    <w:name w:val="Normal (Web)"/>
    <w:basedOn w:val="Normal"/>
    <w:uiPriority w:val="99"/>
    <w:semiHidden/>
    <w:unhideWhenUsed/>
    <w:rsid w:val="00B55259"/>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B5525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99747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1486</Words>
  <Characters>8026</Characters>
  <Application>Microsoft Office Word</Application>
  <DocSecurity>0</DocSecurity>
  <Lines>66</Lines>
  <Paragraphs>18</Paragraphs>
  <ScaleCrop>false</ScaleCrop>
  <Company/>
  <LinksUpToDate>false</LinksUpToDate>
  <CharactersWithSpaces>9494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3</cp:revision>
  <dcterms:created xsi:type="dcterms:W3CDTF">2026-05-01T22:55:00Z</dcterms:created>
  <dcterms:modified xsi:type="dcterms:W3CDTF">2026-05-01T22:56:00Z</dcterms:modified>
</cp:coreProperties>
</file>