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7C29EB">
        <w:rPr>
          <w:rFonts w:ascii="Arial" w:eastAsia="Times New Roman" w:hAnsi="Arial" w:cs="Arial"/>
          <w:sz w:val="24"/>
          <w:szCs w:val="24"/>
          <w:lang w:eastAsia="pt-BR"/>
        </w:rPr>
        <w:t>PROCESSO Nº 0882737-93.2024.8.14.0301</w:t>
      </w:r>
    </w:p>
    <w:bookmarkEnd w:id="0"/>
    <w:p w:rsid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SENTENÇA</w:t>
      </w:r>
    </w:p>
    <w:p w:rsidR="007C29EB" w:rsidRP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7C29EB" w:rsidRP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>Vistos os presentes autos.</w:t>
      </w:r>
    </w:p>
    <w:p w:rsidR="007C29EB" w:rsidRP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CARLOTA MARTINS MARIA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qualificada na petição inicial, por intermédio de advogada legalmente constituída, ajuizou a presente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Indenização por Danos Materiais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em desfavor do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DO BRASIL S.A.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também qualificado no processo. Narra a parte requerente, em síntese, que ingressou no serviço público e possui cadastramento no Programa de Formação do Patrimônio do Servidor Público (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PASEP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) sob o número 1.002.647.808-8, conforme documentação acostada. Sustenta que, ao passar para a inatividade, identificou que os valores recebidos a título de repasses eram irrisórios, totalizando apenas R$ 1.652,75, o que estaria muito aquém do montante que razoavelmente deveria constar em sua conta vinculada após anos de administração pela instituição financeira ré.</w:t>
      </w:r>
    </w:p>
    <w:p w:rsidR="007C29EB" w:rsidRP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Alega a autora que houve falha grave na administração da referida conta, consubstanciada na ausência da devida atualização monetária e correção dos valores, além da ocorrência de saques e deduções indevidas ao longo do tempo. Afirma que obteve ciência inequívoca do prejuízo somente em 04/06/2024, data em que recebeu o extrato analítico e constatou as irregularidades. Com base em parecer técnico e planilha de cálculos que instruíram a inicial, a requerente pleiteia a condenação do banco réu ao pagamento de indenização por danos materiais no montante de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R$ 234.917,57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valor este que entende ser a diferença necessária para a recomposição integral do saldo do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PASEP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. Pugnou, ainda, pelos benefícios da justiça gratuita e pela prioridade na tramitação processual.</w:t>
      </w:r>
    </w:p>
    <w:p w:rsidR="007C29EB" w:rsidRPr="007C29EB" w:rsidRDefault="007C29EB" w:rsidP="007C29EB">
      <w:pPr>
        <w:spacing w:after="5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Devidamente citado, 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DO BRASIL S.A.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apresentou contestação tempestiva. Preliminarmente, arguiu a sua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ilegitimidade passiva ad causam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defendendo ser mero depositário das quantias e executor das ordens do Conselho Diretor do Fundo PIS-PASEP, órgão vinculado ao Ministério da Fazenda, a quem atribui a responsabilidade exclusiva pela gestão e estipulação de índices de correção. Suscitou também a inépcia da petição inicial por ausência de documentos essenciais e a incompetência absoluta do Juízo Estadual, pleiteando a remessa dos autos à Justiça Federal em razão do interesse da União.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No mérito, a instituição financeira ré levantou a prejudicial de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prescrição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argumentando que o prazo para a pretensão seria de dez anos contados do saque das cotas, o qual teria ocorrido em meados de 1997/1998, operando-se a perda do direito de agir. Quanto à questão de fundo, sustentou a regularidade da gestão da conta, afirmando que as atualizações obedeceram estritamente aos parâmetros legais e às normas do Conselho Diretor. Rebateu a alegação de desfalques indevidos, afirmando que os lançamentos questionados </w:t>
      </w:r>
      <w:proofErr w:type="gramStart"/>
      <w:r w:rsidRPr="007C29EB">
        <w:rPr>
          <w:rFonts w:ascii="Arial" w:eastAsia="Times New Roman" w:hAnsi="Arial" w:cs="Arial"/>
          <w:sz w:val="24"/>
          <w:szCs w:val="24"/>
          <w:lang w:eastAsia="pt-BR"/>
        </w:rPr>
        <w:t>referem-se</w:t>
      </w:r>
      <w:proofErr w:type="gramEnd"/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a conversões de moeda e pagamentos de rendimentos anuais previstos em lei. Impugnou especificamente os cálculos da autora, alegando que foram utilizados índices estranhos à legislação do fundo, e pugnou pela total improcedência da demanda.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O processo seguiu o trâmite regular, sendo inicialmente determinada a suspensão do feito em razão da afetação da matéria pelo Superior Tribunal de Justiça, especificamente no que tange à controvérsia sobre o ônus da prova e prazos prescricionais vinculados ao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PASEP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. Após o julgamento dos recursos repetitivos representativos da controvérsia (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1.150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1.300 do STJ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), 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sobreveio certidão informando o retorno dos autos para análise conclusiva. Não houve necessidade de dilação probatória oral, considerando que a matéria é predominantemente de direito e documental.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>É o relatório nos termos do Art. 489, inciso I, do Código de Processo Civil. Passo a fundamentar e decidir.</w:t>
      </w:r>
    </w:p>
    <w:p w:rsidR="007C29EB" w:rsidRPr="007C29EB" w:rsidRDefault="007C29EB" w:rsidP="007C29EB">
      <w:pPr>
        <w:spacing w:after="5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7C29EB" w:rsidRPr="007C29EB" w:rsidRDefault="007C29EB" w:rsidP="007C29EB">
      <w:pPr>
        <w:spacing w:after="5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Das Questões Processuais e Preliminares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As preliminares de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ilegitimidade passiva ad causam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incompetência absoluta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suscitadas pela instituição financeira ré não comportam acolhimento. No que tange à legitimidade do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DO BRASIL S.A.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a questão foi pacificada pelo Superior Tribunal de Justiça no julgamento do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1.150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7C29EB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1.895.936/TO), o qual firmou a tese de que a referida instituição possui legitimidade para figurar no polo passivo de demandas em que se discute eventual falha na prestação do serviço quanto à conta vinculada ao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PASEP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abrangendo saques indevidos, desfalques ou ausência de aplicação de rendimentos estabelecidos pelo Conselho Diretor.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Quanto à competência, sendo o réu uma sociedade de economia mista, aplica-se o enunciado da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Súmula 508 do STF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que estabelece a competência da Justiça Estadual para processar e julgar as causas em que for parte o Banco do Brasil. A tese de interesse da União Federal não subsiste para fins de deslocamento à Justiça Federal, uma vez que a causa de pedir reside especificamente na má gestão dos valores depositados sob a guarda do banco, e não em questionamentos sobre os índices gerais fixados pela União. Por tais razões, rejeito as preliminares.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De igual modo, a alegação de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inépcia da petição inicial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e ausência de documentos indispensáveis deve ser afastada. Pela análise da peça inaugural e dos anexos, verifica-se que a autora apresentou causa de pedir clara e pedidos determinados, instruindo o feito com as microfichas da conta e parecer técnico contábil. Os documentos acostados são suficientes para permitir o exercício do contraditório e a análise do mérito, devendo a aptidão da via eleita ser reconhecida sob a ótica da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teoria da asserção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C29EB" w:rsidRPr="007C29EB" w:rsidRDefault="007C29EB" w:rsidP="007C29EB">
      <w:pPr>
        <w:spacing w:after="5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Prejudicial de Mérito - Prescrição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Superadas as questões preliminares, impõe-se a análise da prejudicial de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prescrição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levantada pelo réu. A matéria foi objeto de profunda análise pelos Tribunais Superiores, resultando na fixação da tese jurídica no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1.150 do STJ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segundo a qual a pretensão ao ressarcimento dos danos decorrentes de desfalques em conta individual vinculada ao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PASEP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submete-se ao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prazo prescricional decenal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previsto no Art. 205 do Código Civil.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No que concerne ao termo inicial para a contagem deste prazo, deve-se observar a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Teoria da </w:t>
      </w:r>
      <w:proofErr w:type="spellStart"/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Actio</w:t>
      </w:r>
      <w:proofErr w:type="spellEnd"/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Nata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também consolidada no referido precedente vinculante. Segundo este entendimento, o curso do prazo prescricional inicia-se no dia em que o titular da conta toma ciência inequívoca da lesão ao seu direito, o que ocorre, em regra, no momento em que o beneficiário realiza o saque dos valores e percebe as inconsistências no saldo ou a ocorrência de desfalques injustificados.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Ao transpor tais premissas ao caso concreto, observa-se que a parte autora,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CARLOTA MARTINS MARIA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realizou o levantamento total de sua cota do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PASEP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em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06/12/1996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conforme demonstra o extrato analítico e a planilha de apuração juntada aos autos. Tal fato é corroborado pela documentação 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fornecida pelo próprio banco, que identifica o saque definitivo por motivo de aposentadoria há quase três décadas.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Diferente do que sustenta a requerente na inicial, o recebimento de novo parecer técnico ou a solicitação recente de extratos analíticos em 2024 não possuem o condão de postergar o termo inicial da prescrição, sob pena de tornar perpétua a pretensão indenizatória. A ciência do dano (ou a possibilidade de conhecê-lo) cristalizou-se no momento do encerramento da conta e percepção dos valores tidos por ínfimos em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1996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. Entre a data do saque (06/12/1996) e o ajuizamento da presente demanda em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07/10/2024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transcorreram mais de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vinte e sete anos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, extrapolando largamente o prazo decenal estabelecido pelo Art. 205 do Código Civil.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>Dessa forma, operou-se a prescrição total da pretensão autoral, o que impede a análise das questões de fundo relativas aos índices de correção aplicados ou eventuais desfalques materiais alegados. A estabilidade das relações jurídicas e a segurança social exigem que o exercício do direito de ação ocorra dentro do lapso temporal legalmente previsto, o que não foi observado no presente feito, impondo-se a extinção do processo com resolução de mérito, nos termos do Art. 487, inciso II, do Código de Processo Civil.</w:t>
      </w:r>
    </w:p>
    <w:p w:rsidR="007C29EB" w:rsidRPr="007C29EB" w:rsidRDefault="007C29EB" w:rsidP="007C29EB">
      <w:pPr>
        <w:spacing w:after="5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considerando os fundamentos jurídicos apresentados e o que mais dos autos consta, acolho a prejudicial de mérito arguida pelo réu e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EXTINTO O PROCESSO COM RESOLUÇÃO DE MÉRITO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Art. 487, inciso II, do Código de Processo Civil, em razão do reconhecimento da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prescrição decenal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da pretensão autoral, com fundamento no Art. 205 do Código Civil e na tese jurídica fixada no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Tema 1.150 do Superior Tribunal de Justiça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Em consequência da sucumbência, condeno a parte autora ao pagamento das custas processuais e dos honorários advocatícios, os quais fixo em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 sobre o valor atualizado da causa, nos termos do Art. 85, § 2º, do Código de Processo Civil. Para o arbitramento, considero o zelo profissional, o lugar da prestação do serviço e a importância da causa, que demandou análise detida de extenso histórico documental.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Contudo, por ser a requerente beneficiária da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de justiça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 xml:space="preserve">, as obrigações decorrentes de sua sucumbência ficarão sob </w:t>
      </w:r>
      <w:r w:rsidRPr="007C29E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condição suspensiva de exigibilidade</w:t>
      </w:r>
      <w:r w:rsidRPr="007C29EB">
        <w:rPr>
          <w:rFonts w:ascii="Arial" w:eastAsia="Times New Roman" w:hAnsi="Arial" w:cs="Arial"/>
          <w:sz w:val="24"/>
          <w:szCs w:val="24"/>
          <w:lang w:eastAsia="pt-BR"/>
        </w:rPr>
        <w:t>. Assim, tais verbas somente poderão ser executadas se, nos 5 (cinco) anos subsequentes ao trânsito em julgado desta decisão, o credor demonstrar que deixou de existir a situação de insuficiência de recursos que justificou a concessão da gratuidade, extinguindo-se a obrigação após o decurso de tal prazo, conforme estabelece o Art. 98, § 3º, do Código de Processo Civil.</w:t>
      </w:r>
    </w:p>
    <w:p w:rsidR="007C29EB" w:rsidRPr="007C29EB" w:rsidRDefault="007C29EB" w:rsidP="007C29EB">
      <w:pPr>
        <w:spacing w:after="5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C29EB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</w:t>
      </w:r>
    </w:p>
    <w:p w:rsidR="00053C1A" w:rsidRPr="007C29EB" w:rsidRDefault="00053C1A" w:rsidP="007C29EB">
      <w:pPr>
        <w:spacing w:after="5"/>
        <w:jc w:val="both"/>
        <w:rPr>
          <w:rFonts w:ascii="Arial" w:hAnsi="Arial" w:cs="Arial"/>
          <w:sz w:val="24"/>
          <w:szCs w:val="24"/>
        </w:rPr>
      </w:pPr>
    </w:p>
    <w:sectPr w:rsidR="00053C1A" w:rsidRPr="007C2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9EB"/>
    <w:rsid w:val="00053C1A"/>
    <w:rsid w:val="007C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7D860"/>
  <w15:chartTrackingRefBased/>
  <w15:docId w15:val="{31AB194D-5210-47A1-B919-2A989CAC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C29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C29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9E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C29E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C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2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9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1463</Words>
  <Characters>7904</Characters>
  <Application>Microsoft Office Word</Application>
  <DocSecurity>0</DocSecurity>
  <Lines>65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2026-05-01T21:40:00Z</dcterms:created>
  <dcterms:modified xsi:type="dcterms:W3CDTF">2026-05-01T21:42:00Z</dcterms:modified>
</cp:coreProperties>
</file>