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916952">
        <w:rPr>
          <w:rFonts w:ascii="Arial" w:eastAsia="Times New Roman" w:hAnsi="Arial" w:cs="Arial"/>
          <w:bCs/>
          <w:sz w:val="24"/>
          <w:szCs w:val="24"/>
          <w:lang w:eastAsia="pt-BR"/>
        </w:rPr>
        <w:t>PROCESSO N.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0849462-90.2023.8.14.0301</w:t>
      </w:r>
    </w:p>
    <w:bookmarkEnd w:id="0"/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</w:t>
      </w:r>
    </w:p>
    <w:p w:rsidR="00916952" w:rsidRPr="00916952" w:rsidRDefault="00916952" w:rsidP="009169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busca e apreensão em alienação fiduciária proposta por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ITAU UNIBANCO HOLDING S.A.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WILLIE NELSON COSTA DE MORAES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>, ambos qualificados nos autos.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A parte autora alegou, em síntese, que celebrou com o </w:t>
      </w:r>
      <w:proofErr w:type="gramStart"/>
      <w:r w:rsidRPr="00916952">
        <w:rPr>
          <w:rFonts w:ascii="Arial" w:eastAsia="Times New Roman" w:hAnsi="Arial" w:cs="Arial"/>
          <w:sz w:val="24"/>
          <w:szCs w:val="24"/>
          <w:lang w:eastAsia="pt-BR"/>
        </w:rPr>
        <w:t>requerido cédula</w:t>
      </w:r>
      <w:proofErr w:type="gramEnd"/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de crédito bancário nº 299383190.30410, em 18 de agosto de 2020, no valor total de R$ 44.233,00, com pagamento em 60 parcelas, tendo por objeto o veículo Chevrolet </w:t>
      </w:r>
      <w:proofErr w:type="spellStart"/>
      <w:r w:rsidRPr="00916952">
        <w:rPr>
          <w:rFonts w:ascii="Arial" w:eastAsia="Times New Roman" w:hAnsi="Arial" w:cs="Arial"/>
          <w:sz w:val="24"/>
          <w:szCs w:val="24"/>
          <w:lang w:eastAsia="pt-BR"/>
        </w:rPr>
        <w:t>Onix</w:t>
      </w:r>
      <w:proofErr w:type="spellEnd"/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Premier R7R 1.0, ano 2020, cor azul, placa QVS1C76, RENAVAM 01236923852, CHASSI 9BGEP69H0LG266176, alienado fiduciariamente em garantia (ID 93986947, p. 8). Narrou que o requerido deixou de efetuar o pagamento da 28ª parcela, com vencimento em 02/01/2023, acarretando o vencimento antecipado da dívida, cujo saldo devedor atualizado até 16/05/2023 totalizava R$ 31.967,94 (ID 93986965). Afirmou que a mora foi comprovada mediante notificação extrajudicial remetida ao endereço do devedor (ID 93986964), razão pela qual requereu a concessão de liminar de busca e apreensão do veículo, com posterior consolidação da propriedade.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 parte requerida, antes da citação, peticionou nos autos requerendo sua habilitação e a retirada do segredo de justiça (ID 95029221).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Após determinação de emenda à inicial para depósito da via original da cédula de crédito bancário (ID 95414187), a parte autora manifestou-se (ID 96425103 e 96425105), e o pedido liminar foi deferido (ID 96807323), determinando-se a expedição de mandado de busca e apreensão e a citação do requerido.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O mandado foi expedido (ID 114915937 e 114918249), e a </w:t>
      </w:r>
      <w:proofErr w:type="spellStart"/>
      <w:r w:rsidRPr="00916952">
        <w:rPr>
          <w:rFonts w:ascii="Arial" w:eastAsia="Times New Roman" w:hAnsi="Arial" w:cs="Arial"/>
          <w:sz w:val="24"/>
          <w:szCs w:val="24"/>
          <w:lang w:eastAsia="pt-BR"/>
        </w:rPr>
        <w:t>Oficiala</w:t>
      </w:r>
      <w:proofErr w:type="spellEnd"/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de Justiça certificou que deixou de cumprir a diligência porque o endereço indicado era insuficiente para a localização, não tendo sido encontrado o Residencial Rio Volga, e os moradores e comerciantes da região não souberam informar sua localização (ID 116689137).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 parte autora foi intimada a se manifestar (ID 119596842), e requereu a realização de pesquisas de endereço via sistemas SISBAJUD, INFOJUD, RENAJUD, SERASAJUD e SIEL (ID 122587878), providenciando o recolhimento das custas correspondentes (ID 133097046 e ss.).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pedido de pesquisa foi indeferido, ante a ausência de demonstração do esgotamento de meios extrajudiciais de localização, determinando-se nova intimação para que a parte autora promovesse as diligências necessárias, sob pena de extinção (ID 157553856).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 parte autora requereu o desentranhamento do mandado (ID 159411499) e, posteriormente, complementou o endereço (ID 165896333). Foram expedidos novos atos ordinatórios para recolhimento de custas intermediárias (ID 180010580 e 180010581).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Em 21 de junho de 2026, a parte autora requereu a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feito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>, com fundamento no art. 485, inciso VIII, do Código de Processo Civil, postulando, ainda, a condenação do requerido em custas e honorários advocatícios, sob a alegação de que este deu causa ao ajuizamento da ação, bem como a retirada de eventual impedimento judicial junto ao DETRAN (ID 180524559).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Na sequência, a parte autora juntou guias e comprovantes de pagamento de custas intermediárias (ID 180994681 e ss.).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Os autos vieram conclusos.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relatório.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916952" w:rsidRPr="00916952" w:rsidRDefault="00916952" w:rsidP="009169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O feito comporta julgamento imediato, nos termos do art. 355, inciso I, c/</w:t>
      </w:r>
      <w:proofErr w:type="gramStart"/>
      <w:r w:rsidRPr="00916952">
        <w:rPr>
          <w:rFonts w:ascii="Arial" w:eastAsia="Times New Roman" w:hAnsi="Arial" w:cs="Arial"/>
          <w:sz w:val="24"/>
          <w:szCs w:val="24"/>
          <w:lang w:eastAsia="pt-BR"/>
        </w:rPr>
        <w:t>c</w:t>
      </w:r>
      <w:proofErr w:type="gramEnd"/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art. 485, § 4º, do Código de Processo Civil, considerando que a parte autora requereu a extinção do processo e o requerido ainda não foi citado.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 desistência da ação, antes da citação do réu, independe de consentimento deste, conforme expressamente previsto no art. 485, § 4º, do CPC. No caso, embora a parte requerida tenha comparecido espontaneamente aos autos e constituído advogado (ID 95029221), esse comparecimento teve por finalidade apenas requerer habilitação e acesso aos autos, sem que houvesse citação formal e sem que se instaurasse a fase contestatória. Em nenhum momento foi apresentada contestação ou qualquer manifestação de mérito pelo requerido. Desse modo, o pedido de desistência formulado pela parte autora é válido e eficaz, impondo-se a extinção do processo sem resolução de mérito, com fundamento no art. 485, inciso VIII, do Código de Processo Civil.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Quanto ao pleito da parte autora de condenação do requerido em custas processuais e honorários advocatícios, o pedido não merece acolhimento.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art. 90, </w:t>
      </w:r>
      <w:r w:rsidRPr="009169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caput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>, do Código de Processo Civil estabelece que, proferida sentença com fundamento em desistência, as despesas e os honorários serão pagos pela parte que desistiu. A ressalva legal — de que o ônus recairá sobre a parte contrária se a desistência decorrer de fato superveniente que demonstre que esta deu causa ao ajuizamento — não se aplica ao caso concreto. O inadimplemento contratual que motivou a propositura da ação é fato anterior à constituição da relação processual, e não fato superveniente. A desistência não decorreu de pagamento da dívida pelo requerido, nem de qualquer outro ato superveniente deste que pudesse justificar o deslocamento do ônus sucumbencial. Ao contrário, a desistência se deu por iniciativa da própria parte autora, que, diante das dificuldades de localização do devedor, optou por não mais prosseguir com a demanda.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Portanto, as custas processuais remanescentes devem ser suportadas pela parte autora, que já efetuou o recolhimento das custas iniciais e intermediárias ao longo do processo. Não há falar em honorários advocatícios, seja porque o requerido não foi citado e não houve contestação, seja porque a desistência afasta a condenação do réu nessa verba. O comparecimento espontâneo do requerido para simples habilitação nos autos, sem apresentação de defesa, não configura resistência apta a gerar honorários em seu favor.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Por fim, no que tange ao pedido de retirada de eventual restrição judicial junto ao DETRAN ou a qualquer outro órgão de trânsito, verifica-se que a decisão liminar (ID 96807323) determinou a inclusão de restrição de circulação do veículo junto ao sistema RENAJUD. Com a extinção da ação, essa restrição perde sua razão de ser, devendo ser determinada a sua exclusão, a fim de que o veículo retome sua situação regular.</w:t>
      </w:r>
    </w:p>
    <w:p w:rsidR="00916952" w:rsidRPr="00916952" w:rsidRDefault="00916952" w:rsidP="009169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Ante o exposto, com fundamento no art. 485, inciso VIII, do Código de Processo Civil: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HOMOLOGO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a desistência da ação e, em consequência,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o processo, sem resolução de mérito;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9169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a exclusão de eventual restrição judicial de circulação e impedimento lançado sobre o veículo placa QVS1C76, RENAVAM 01236923852, CHASSI 9BGEP69H0LG266176, junto ao sistema RENAJUD e </w:t>
      </w:r>
      <w:r w:rsidRPr="009169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ao DETRAN, devendo ser expedido ofício ou comando eletrônico para tanto, se necessário;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16952">
        <w:rPr>
          <w:rFonts w:ascii="Arial" w:eastAsia="Times New Roman" w:hAnsi="Arial" w:cs="Arial"/>
          <w:sz w:val="24"/>
          <w:szCs w:val="24"/>
          <w:lang w:eastAsia="pt-BR"/>
        </w:rPr>
        <w:t>c) As</w:t>
      </w:r>
      <w:proofErr w:type="gramEnd"/>
      <w:r w:rsidRPr="00916952">
        <w:rPr>
          <w:rFonts w:ascii="Arial" w:eastAsia="Times New Roman" w:hAnsi="Arial" w:cs="Arial"/>
          <w:sz w:val="24"/>
          <w:szCs w:val="24"/>
          <w:lang w:eastAsia="pt-BR"/>
        </w:rPr>
        <w:t xml:space="preserve"> custas processuais remanescentes ficam a cargo da parte autora, já recolhidas.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Sem condenação em honorários advocatícios.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Publique-se. Intime-se.</w:t>
      </w:r>
    </w:p>
    <w:p w:rsidR="00916952" w:rsidRPr="00916952" w:rsidRDefault="00916952" w:rsidP="009169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6952">
        <w:rPr>
          <w:rFonts w:ascii="Arial" w:eastAsia="Times New Roman" w:hAnsi="Arial" w:cs="Arial"/>
          <w:sz w:val="24"/>
          <w:szCs w:val="24"/>
          <w:lang w:eastAsia="pt-BR"/>
        </w:rPr>
        <w:t>Transitada em julgado, arquivem-se os autos com as baixas e comunicações necessárias.</w:t>
      </w:r>
    </w:p>
    <w:p w:rsidR="00226EEF" w:rsidRPr="00916952" w:rsidRDefault="00226EEF" w:rsidP="009169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26EEF" w:rsidRPr="00916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52"/>
    <w:rsid w:val="00226EEF"/>
    <w:rsid w:val="0091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504D"/>
  <w15:chartTrackingRefBased/>
  <w15:docId w15:val="{2DC53772-5B02-4E6B-846B-5CCB917B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6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95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6952"/>
    <w:rPr>
      <w:b/>
      <w:bCs/>
    </w:rPr>
  </w:style>
  <w:style w:type="character" w:styleId="nfase">
    <w:name w:val="Emphasis"/>
    <w:basedOn w:val="Fontepargpadro"/>
    <w:uiPriority w:val="20"/>
    <w:qFormat/>
    <w:rsid w:val="009169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4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1061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2026-07-03T14:39:00Z</dcterms:created>
  <dcterms:modified xsi:type="dcterms:W3CDTF">2026-07-03T14:42:00Z</dcterms:modified>
</cp:coreProperties>
</file>