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Cs/>
          <w:sz w:val="24"/>
          <w:szCs w:val="24"/>
          <w:lang w:eastAsia="pt-BR"/>
        </w:rPr>
        <w:t>PROCESSO nº 0861254-70.2025.8.14.0301</w:t>
      </w:r>
    </w:p>
    <w:p w:rsidR="00410C4B" w:rsidRPr="00410C4B" w:rsidRDefault="00410C4B" w:rsidP="00F353BC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SENTENÇA</w:t>
      </w:r>
    </w:p>
    <w:p w:rsidR="00410C4B" w:rsidRPr="00410C4B" w:rsidRDefault="00410C4B" w:rsidP="00F353BC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410C4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Revisional de Contrato Bancário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ajuizada por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Maria da Paixão Lucas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em face do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Banco </w:t>
      </w:r>
      <w:proofErr w:type="spellStart"/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Daycoval</w:t>
      </w:r>
      <w:proofErr w:type="spellEnd"/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S/A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>, com pedido de concessão do benefício da justiça gratuita, tutela de urgência e inversão do ônus da prova.</w:t>
      </w:r>
    </w:p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>A autora</w:t>
      </w:r>
      <w:r w:rsidR="00F353B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ajuizou a presente ação em 22/06/2025 (ID 146774203) sustentando, em síntese, que celebrou com o banco réu o contrato de empréstimo pessoal nº 95-013089594/23, em 15/03/2023, no valor de R$ 5.816,75, a ser pago em 12 parcelas mensais de R$ 1.154,60, perfazendo o total de R$ 13.855,20. Alega que a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taxa de juros remuneratórios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fixada no contrato foi de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18,00% ao mês (628,76% ao ano)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, enquanto a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taxa média de mercado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divulgada pelo Banco Central do Brasil para operações da mesma espécie, no período da contratação, era de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5,40% ao mês (88,01% ao ano)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, conforme consulta ao Código 20742 do BACEN. Defende que a diferença superior a 600% caracteriza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abusividade contratual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 art. 51, IV, do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Código de Defesa do Consumidor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, e requer a revisão dos juros para a taxa média de mercado, com a consequente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devolução em dobro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da diferença indevidamente cobrada, no valor de R$ 11.602,32, além da suspensão de descontos e proibição de negativação.</w:t>
      </w:r>
    </w:p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A autora requereu, ainda,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tutela de urgência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para obstar sua inscrição nos cadastros de restrição ao crédito, em razão do contrato discutido, e a concessão do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benefício da justiça gratuita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Em 08/08/2025, foi proferida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 interlocutória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(ID 153960165) que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deferiu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o pedido de justiça gratuita, com base no art. 98 e seguintes do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Código de Processo Civil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deferiu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a tutela de urgência, determinando que o réu se abstivesse de incluir o nome da autora nos cadastros de restrição ao crédito, em razão do contrato discutido, independentemente do depósito de qualquer valor, sob pena de multa diária de R$ 500,00, limitada a R$ 10.000,00; e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deferiu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o pedido de inversão do ônus da prova, com fundamento no art. 6º, VIII, do CDC. A citação do réu foi determinada por meio de carta AR.</w:t>
      </w:r>
    </w:p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O banco réu foi citado e, em 15/07/2025, apresentou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petição de habilitação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(ID 148495425), acompanhada do instrumento de procuração e dos atos constitutivos (ID 148495426).</w:t>
      </w:r>
    </w:p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Em 18/08/2025, o réu protocolou petição informando o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cumprimento da liminar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(ID 154557615), juntando consulta aos sistemas SCPC e Serasa (ID 154557616) demonstrando que a autora não possuía restrição cadastral em seu nome.</w:t>
      </w:r>
    </w:p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Em 21/08/2025, o banco apresentou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contestação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(ID 154909721), sustentando, em preliminar: a)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falta de interesse de agir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, por ausência de prévia tentativa de solução administrativa; b)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inépcia da petição inicial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, por violação ao art. 330, §2º, do CPC, alegando que a autora não discriminou as obrigações contratuais controvertidas nem quantificou o valor incontroverso do débito; c)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impugnação à justiça gratuita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, argumentando que a autora teria condições de arcar com as custas processuais. No mérito, o banco afirmou que: i) a taxa de juros foi livremente pactuada e consta expressamente na Cédula de Crédito Bancário (CCB), sendo transparente o Custo Efetivo Total (CET) de 18,40% a.m.; </w:t>
      </w:r>
      <w:proofErr w:type="spellStart"/>
      <w:r w:rsidRPr="00410C4B">
        <w:rPr>
          <w:rFonts w:ascii="Arial" w:eastAsia="Times New Roman" w:hAnsi="Arial" w:cs="Arial"/>
          <w:sz w:val="24"/>
          <w:szCs w:val="24"/>
          <w:lang w:eastAsia="pt-BR"/>
        </w:rPr>
        <w:t>ii</w:t>
      </w:r>
      <w:proofErr w:type="spellEnd"/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) não há abusividade, pois as instituições financeiras não se sujeitam à limitação dos juros pela Lei de Usura (Decreto 22.626/33), conforme Súmula 596/STF; </w:t>
      </w:r>
      <w:proofErr w:type="spellStart"/>
      <w:r w:rsidRPr="00410C4B">
        <w:rPr>
          <w:rFonts w:ascii="Arial" w:eastAsia="Times New Roman" w:hAnsi="Arial" w:cs="Arial"/>
          <w:sz w:val="24"/>
          <w:szCs w:val="24"/>
          <w:lang w:eastAsia="pt-BR"/>
        </w:rPr>
        <w:t>iii</w:t>
      </w:r>
      <w:proofErr w:type="spellEnd"/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) a capitalização mensal de juros é lícita nos contratos firmados após 31/03/2000, desde que expressamente pactuada, o que ocorreu no caso; </w:t>
      </w:r>
      <w:proofErr w:type="spellStart"/>
      <w:r w:rsidRPr="00410C4B">
        <w:rPr>
          <w:rFonts w:ascii="Arial" w:eastAsia="Times New Roman" w:hAnsi="Arial" w:cs="Arial"/>
          <w:sz w:val="24"/>
          <w:szCs w:val="24"/>
          <w:lang w:eastAsia="pt-BR"/>
        </w:rPr>
        <w:t>iv</w:t>
      </w:r>
      <w:proofErr w:type="spellEnd"/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) é inaplicável a "Calculadora do Cidadão" do BACEN para aferir os cálculos contratuais; v) não há danos morais nem materiais a serem indenizados; vi) é descabida a repetição em dobro, por ausência de má-fé do banco. O réu juntou os seguintes documentos: contrato, demonstrativo de operações, planilha de cálculos, cartilha de contratação digital, declaração </w:t>
      </w:r>
      <w:proofErr w:type="spellStart"/>
      <w:r w:rsidRPr="00410C4B">
        <w:rPr>
          <w:rFonts w:ascii="Arial" w:eastAsia="Times New Roman" w:hAnsi="Arial" w:cs="Arial"/>
          <w:sz w:val="24"/>
          <w:szCs w:val="24"/>
          <w:lang w:eastAsia="pt-BR"/>
        </w:rPr>
        <w:t>Aware</w:t>
      </w:r>
      <w:proofErr w:type="spellEnd"/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e declaração juramentada (</w:t>
      </w:r>
      <w:proofErr w:type="spellStart"/>
      <w:r w:rsidRPr="00410C4B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154909726 a 154909732).</w:t>
      </w:r>
    </w:p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Em 04/09/2025, o banco interpôs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agravo de instrumento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(ID 155988555/155988556) contra a decisão que deferiu a tutela de urgência, o qual foi distribuído à 1ª Turma de Direito Privado do Tribunal de Justiça do Estado do Pará sob o nº 0818483-10.2025.8.14.0000 (Agravante: Banco </w:t>
      </w:r>
      <w:proofErr w:type="spellStart"/>
      <w:r w:rsidRPr="00410C4B">
        <w:rPr>
          <w:rFonts w:ascii="Arial" w:eastAsia="Times New Roman" w:hAnsi="Arial" w:cs="Arial"/>
          <w:sz w:val="24"/>
          <w:szCs w:val="24"/>
          <w:lang w:eastAsia="pt-BR"/>
        </w:rPr>
        <w:t>Daycoval</w:t>
      </w:r>
      <w:proofErr w:type="spellEnd"/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S/A; Agravado: Maria da Paixão Lucas), onde se aguarda julgamento.</w:t>
      </w:r>
    </w:p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Em 10/10/2025, foi proferido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ato ordinatório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(ID 158781026/158781027) intimando a autora para apresentar réplica, o que foi feito em 10/11/2025 (ID 160861471), reafirmando a abusividade das taxas de juros e a necessidade de revisão contratual.</w:t>
      </w:r>
    </w:p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>Em 24/02/2026, foi certificado que a contestação e a réplica foram apresentadas dentro do prazo legal (ID 168322587).</w:t>
      </w:r>
    </w:p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Os autos vieram conclusos para sentença. É o relatório. Passo a fundamentar e decidir.</w:t>
      </w:r>
    </w:p>
    <w:p w:rsidR="00410C4B" w:rsidRPr="00410C4B" w:rsidRDefault="00410C4B" w:rsidP="00F353BC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410C4B" w:rsidRPr="00410C4B" w:rsidRDefault="00410C4B" w:rsidP="00F353BC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QUESTÕES PRELIMINARES</w:t>
      </w:r>
    </w:p>
    <w:p w:rsidR="00410C4B" w:rsidRPr="00410C4B" w:rsidRDefault="00410C4B" w:rsidP="00F353BC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2.1.1. Do benefício da justiça gratuita</w:t>
      </w:r>
    </w:p>
    <w:p w:rsidR="00410C4B" w:rsidRPr="00410C4B" w:rsidRDefault="00410C4B" w:rsidP="00F353BC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O pedido de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gratuidade de justiça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foi deferido na decisão interlocutória de ID 153960165, com base na declaração de hipossuficiência apresentada pela autora. O banco réu impugnou o benefício, alegando que a autora teria capacidade financeira. A declaração de hipossuficiência goza de presunção relativa de veracidade, nos termos do art. 99, §3º, do CPC. O impugnante não apresentou provas concretas de que a autora possui recursos suficientes. Os documentos dos autos demonstram que a autora é aposentada, com renda mensal comprometida por consignações. Portanto,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mantenho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a concessão do benefício da justiça gratuita e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a impugnação.</w:t>
      </w:r>
    </w:p>
    <w:p w:rsidR="00410C4B" w:rsidRPr="00410C4B" w:rsidRDefault="00410C4B" w:rsidP="00F353BC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2.1.2. Da falta de interesse de agir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O réu arguiu falta de interesse de agir por ausência de prévia tentativa administrativa. O argumento não procede. O interesse de agir configura-se pela necessidade, utilidade e adequação do provimento jurisdicional. O ordenamento jurídico não condiciona o exercício do direito de ação ao prévio esgotamento das vias administrativas (art. 5º, XXXV, da CF).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a preliminar.</w:t>
      </w:r>
    </w:p>
    <w:p w:rsidR="00410C4B" w:rsidRPr="00410C4B" w:rsidRDefault="00410C4B" w:rsidP="00F353BC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2.1.3. Da inépcia da petição inicial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O banco sustentou inépcia por violação ao art. 330, §2º, do CPC. A petição inicial atendeu ao requisito: discriminou a obrigação controvertida (taxa de juros) e quantificou o valor incontroverso. A autora indicou o valor cobrado indevidamente e o pedido de devolução em dobro.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a preliminar.</w:t>
      </w:r>
    </w:p>
    <w:p w:rsidR="00410C4B" w:rsidRPr="00410C4B" w:rsidRDefault="00410C4B" w:rsidP="00F353BC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2.1.4. Do juízo 100% digital</w:t>
      </w:r>
    </w:p>
    <w:p w:rsid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O banco manifestou não concordância com a adesão ao Juízo 100% Digital, requerendo audiências </w:t>
      </w:r>
      <w:proofErr w:type="spellStart"/>
      <w:r w:rsidRPr="00410C4B">
        <w:rPr>
          <w:rFonts w:ascii="Arial" w:eastAsia="Times New Roman" w:hAnsi="Arial" w:cs="Arial"/>
          <w:sz w:val="24"/>
          <w:szCs w:val="24"/>
          <w:lang w:eastAsia="pt-BR"/>
        </w:rPr>
        <w:t>telepresenciais</w:t>
      </w:r>
      <w:proofErr w:type="spellEnd"/>
      <w:r w:rsidRPr="00410C4B">
        <w:rPr>
          <w:rFonts w:ascii="Arial" w:eastAsia="Times New Roman" w:hAnsi="Arial" w:cs="Arial"/>
          <w:sz w:val="24"/>
          <w:szCs w:val="24"/>
          <w:lang w:eastAsia="pt-BR"/>
        </w:rPr>
        <w:t>. A manifestação será considerada no dispositivo.</w:t>
      </w:r>
    </w:p>
    <w:p w:rsidR="00C9709A" w:rsidRPr="00C9709A" w:rsidRDefault="00C9709A" w:rsidP="00C9709A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9709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2.1.5. Do julgamento antecipado do mérito</w:t>
      </w:r>
    </w:p>
    <w:p w:rsidR="00C9709A" w:rsidRPr="00C9709A" w:rsidRDefault="00C9709A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9709A">
        <w:rPr>
          <w:rFonts w:ascii="Arial" w:eastAsia="Times New Roman" w:hAnsi="Arial" w:cs="Arial"/>
          <w:sz w:val="24"/>
          <w:szCs w:val="24"/>
          <w:lang w:eastAsia="pt-BR"/>
        </w:rPr>
        <w:t>O processo comporta julgamento antecipado do mérito, nos termos do art. 355, I, do Código de Processo Civil. A questão envolve matéria de direito e as provas documentais apresentadas nos autos são suficientes para a resolução do caso, sendo desnecessária a produção de outras provas.</w:t>
      </w:r>
    </w:p>
    <w:p w:rsidR="00410C4B" w:rsidRPr="00410C4B" w:rsidRDefault="00410C4B" w:rsidP="00F353BC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2.2. DO MÉRITO</w:t>
      </w:r>
    </w:p>
    <w:p w:rsidR="00410C4B" w:rsidRPr="00410C4B" w:rsidRDefault="00410C4B" w:rsidP="00F353BC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2.2.1. Da relação de consumo e da inversão do ônus da prova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>A relação é de consumo, nos termos da Súmula 297/STJ. A inversão do ônus da prova foi deferida na decisão interlocutória, com base no art. 6º, VIII, do CDC, presentes a hipossuficiência da autora e a verossimilhança de suas alegações. A decisão é mantida, cabendo ao banco o ônus de demonstrar a legalidade das cláusulas.</w:t>
      </w:r>
    </w:p>
    <w:p w:rsidR="00410C4B" w:rsidRPr="00410C4B" w:rsidRDefault="00410C4B" w:rsidP="00F353BC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2.2.2. Da análise do contrato e da taxa de juros pactuada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>O contrato de empréstimo pessoal nº 95-013089594/23 foi celebrado em 15/03/2023, com as seguintes características: valor principal R$ 5.816,75; IOF R$ 83,87; valor total a pagar R$ 13.855,20; 12 parcelas de R$ 1.154,60; taxa de juros prefixada de 18,0000% ao mês (628,7607% ao ano); CET de 18,40% ao mês (680,57% ao ano). O demonstrativo de operações juntado pelo banco confirma a taxa aplicada.</w:t>
      </w:r>
    </w:p>
    <w:p w:rsidR="00410C4B" w:rsidRPr="00410C4B" w:rsidRDefault="00410C4B" w:rsidP="00F353BC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2.2.3. Da abusividade da taxa de juros remuneratórios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A autora sustenta que a taxa de 18% ao mês é abusiva por ser superior à taxa média de mercado de 5,40% ao mês (Código 20742 do BACEN). O ordenamento jurídico não estabelece limite fixo para juros bancários, e as instituições financeiras não se submetem à Lei de Usura (Súmula 596/STF). O CDC admite a revisão apenas em situações excepcionais, quando a taxa colocar o consumidor em desvantagem exagerada (art. 51, §1º, do CDC). A taxa média de mercado não é limite legal, mas parâmetro para aferir abusividade. No caso, a taxa contratada foi expressamente pactuada, consta no contrato com destaque, e a autora teve acesso ao CET. O banco apresentou planilha demonstrando a evolução dos valores. A diferença entre a taxa contratada e a média de mercado, por si só, não caracteriza abusividade, especialmente porque o contrato é de risco e a taxa reflete as condições específicas da operação. Não há demonstração de que a taxa tenha sido imposta de forma abusiva ou que a autora não tenha tido ciência. Portanto,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o pedido de revisão da taxa de juros para a média de mercado.</w:t>
      </w:r>
    </w:p>
    <w:p w:rsidR="00410C4B" w:rsidRPr="00410C4B" w:rsidRDefault="00410C4B" w:rsidP="00F353BC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2.2.4. Da capitalização mensal de juros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A autora requereu o afastamento da capitalização mensal. A capitalização é admitida nos contratos bancários firmados após 31/03/2000, desde que expressamente pactuada. O contrato prevê capitalização mensal de forma clara 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(cláusula 1.3). A taxa anual é superior ao duodécuplo da taxa mensal, o que demonstra a ciência da contratante. Portanto,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o pedido.</w:t>
      </w:r>
    </w:p>
    <w:p w:rsidR="00410C4B" w:rsidRPr="00410C4B" w:rsidRDefault="00410C4B" w:rsidP="00F353BC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2.2.5. Da devolução em dobro dos valores cobrados indevidamente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A autora requereu a devolução em dobro com base no art. 42, parágrafo único, do CDC. A repetição em dobro exige cobrança indevida e má-fé do credor. Não reconheço a cobrança indevida, pois a taxa foi pactuada e não foi considerada abusiva. Ainda que assim não fosse, não há má-fé demonstrada. O banco cobrou a taxa prevista no contrato, que considerava válida. A hipótese é de engano justificável. Portanto,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o pedido de devolução, inclusive a repetição simples.</w:t>
      </w:r>
    </w:p>
    <w:p w:rsidR="00410C4B" w:rsidRPr="00410C4B" w:rsidRDefault="00410C4B" w:rsidP="00F353BC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2.2.6. Da tutela de urgência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A tutela de urgência deferida na decisão interlocutória determinou que o banco se abstivesse de incluir o nome da autora nos cadastros de restrição ao crédito. Considerando que o pedido de revisão foi julgado improcedente, a tutela perde seu fundamento. A probabilidade do direito não mais se sustenta. Portanto,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revogo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a tutela de urgência concedida.</w:t>
      </w:r>
    </w:p>
    <w:p w:rsidR="00410C4B" w:rsidRPr="00410C4B" w:rsidRDefault="00C9709A" w:rsidP="00F353BC">
      <w:pPr>
        <w:spacing w:after="0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2.2.7</w:t>
      </w:r>
      <w:r w:rsidR="00410C4B"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. Do agravo de instrumento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>O banco interpôs agravo de instrumento contra a decisão que deferiu a tutela de urgência. A presente sentença, ao julgar improcedente o pedido, prejudica o agravo. Caberá ao Tribunal decidir.</w:t>
      </w:r>
    </w:p>
    <w:p w:rsidR="00410C4B" w:rsidRPr="00410C4B" w:rsidRDefault="00410C4B" w:rsidP="00F353BC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DISPOSITIVO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com fundamento no art. 487, I, do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Código de Processo Civil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JULGO IMPROCEDENTE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o pedido formulado por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MARIA DA PAIXAO LUCAS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em face do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DAYCOVAL S/A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as preliminares de falta de interesse de agir e inépcia da petição inicial.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Mantenho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o benefício da justiça gratuita concedido à autora.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Revogo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a tutela de urgência deferida na decisão de ID 153960165, determinando ao banco réu que poderá proceder à inscrição do nome da autora nos cadastros de restrição ao crédito, se for o caso.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Condeno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a autora ao pagamento das custas processuais e despesas processuais, bem como dos honorários advocatícios do procurador do banco réu, que fixo em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10% (dez por cento) sobre o valor da causa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, nos termos do art. 85, §2º, do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CPC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, considerando o grau de zelo profissional, a natureza e a importância da causa, o trabalho realizado e o tempo exigido. A exigibilidade das 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verbas fica suspensa em razão da concessão da gratuidade de justiça, nos termos do art. 98, §3º, do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CPC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Em relação ao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Juízo 100% Digital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, a demanda tramitará no formato 100% digital (Resolução CNJ nº 345/2020), ficando dispensada a realização de audiência de conciliação, nos termos do art. 319, VII, do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CPC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, e, caso haja necessidade de audiência, esta será realizada de forma </w:t>
      </w:r>
      <w:proofErr w:type="spellStart"/>
      <w:r w:rsidRPr="00410C4B">
        <w:rPr>
          <w:rFonts w:ascii="Arial" w:eastAsia="Times New Roman" w:hAnsi="Arial" w:cs="Arial"/>
          <w:sz w:val="24"/>
          <w:szCs w:val="24"/>
          <w:lang w:eastAsia="pt-BR"/>
        </w:rPr>
        <w:t>telepresencial</w:t>
      </w:r>
      <w:proofErr w:type="spellEnd"/>
      <w:r w:rsidRPr="00410C4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Publique-se. Registre-se. Intimem-se.</w:t>
      </w:r>
    </w:p>
    <w:p w:rsidR="00410C4B" w:rsidRPr="00410C4B" w:rsidRDefault="00410C4B" w:rsidP="00C9709A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Após o trânsito em julgado, </w:t>
      </w:r>
      <w:r w:rsidRPr="00410C4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arquivem-se</w:t>
      </w:r>
      <w:r w:rsidRPr="00410C4B">
        <w:rPr>
          <w:rFonts w:ascii="Arial" w:eastAsia="Times New Roman" w:hAnsi="Arial" w:cs="Arial"/>
          <w:sz w:val="24"/>
          <w:szCs w:val="24"/>
          <w:lang w:eastAsia="pt-BR"/>
        </w:rPr>
        <w:t xml:space="preserve"> os autos com as baixas e cautelas de estilo.</w:t>
      </w:r>
    </w:p>
    <w:bookmarkEnd w:id="0"/>
    <w:p w:rsidR="00675071" w:rsidRPr="00410C4B" w:rsidRDefault="00675071" w:rsidP="00F353B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675071" w:rsidRPr="00410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C4B"/>
    <w:rsid w:val="00410C4B"/>
    <w:rsid w:val="00675071"/>
    <w:rsid w:val="00C9709A"/>
    <w:rsid w:val="00F3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46AFC"/>
  <w15:chartTrackingRefBased/>
  <w15:docId w15:val="{2613FE51-B93A-4F8C-9DB9-F26B4D05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10C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10C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10C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0C4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10C4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10C4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10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10C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7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1807</Words>
  <Characters>9763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2026-07-02T14:23:00Z</dcterms:created>
  <dcterms:modified xsi:type="dcterms:W3CDTF">2026-07-02T14:57:00Z</dcterms:modified>
</cp:coreProperties>
</file>