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6951" w:rsidRPr="00316951" w:rsidRDefault="00316951" w:rsidP="004E07AD">
      <w:pPr>
        <w:spacing w:after="0" w:line="360" w:lineRule="auto"/>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Processo nº 0023282-22.2013.8.14.0301</w:t>
      </w:r>
    </w:p>
    <w:p w:rsidR="00316951" w:rsidRPr="00316951" w:rsidRDefault="00316951" w:rsidP="004E07AD">
      <w:pPr>
        <w:spacing w:after="0" w:line="360" w:lineRule="auto"/>
        <w:jc w:val="both"/>
        <w:rPr>
          <w:rFonts w:ascii="Arial" w:eastAsia="Times New Roman" w:hAnsi="Arial" w:cs="Arial"/>
          <w:b/>
          <w:sz w:val="24"/>
          <w:szCs w:val="24"/>
          <w:lang w:eastAsia="pt-BR"/>
        </w:rPr>
      </w:pPr>
      <w:r w:rsidRPr="00316951">
        <w:rPr>
          <w:rFonts w:ascii="Arial" w:eastAsia="Times New Roman" w:hAnsi="Arial" w:cs="Arial"/>
          <w:b/>
          <w:sz w:val="24"/>
          <w:szCs w:val="24"/>
          <w:lang w:eastAsia="pt-BR"/>
        </w:rPr>
        <w:t>SENTENÇA</w:t>
      </w:r>
    </w:p>
    <w:p w:rsidR="00316951" w:rsidRPr="00316951" w:rsidRDefault="00316951" w:rsidP="004E07AD">
      <w:pPr>
        <w:spacing w:after="0" w:line="360" w:lineRule="auto"/>
        <w:jc w:val="both"/>
        <w:outlineLvl w:val="0"/>
        <w:rPr>
          <w:rFonts w:ascii="Arial" w:eastAsia="Times New Roman" w:hAnsi="Arial" w:cs="Arial"/>
          <w:b/>
          <w:bCs/>
          <w:kern w:val="36"/>
          <w:sz w:val="24"/>
          <w:szCs w:val="24"/>
          <w:lang w:eastAsia="pt-BR"/>
        </w:rPr>
      </w:pPr>
      <w:r w:rsidRPr="00316951">
        <w:rPr>
          <w:rFonts w:ascii="Arial" w:eastAsia="Times New Roman" w:hAnsi="Arial" w:cs="Arial"/>
          <w:b/>
          <w:bCs/>
          <w:kern w:val="36"/>
          <w:sz w:val="24"/>
          <w:szCs w:val="24"/>
          <w:lang w:eastAsia="pt-BR"/>
        </w:rPr>
        <w:t xml:space="preserve">1. </w:t>
      </w:r>
      <w:r>
        <w:rPr>
          <w:rFonts w:ascii="Arial" w:eastAsia="Times New Roman" w:hAnsi="Arial" w:cs="Arial"/>
          <w:b/>
          <w:bCs/>
          <w:kern w:val="36"/>
          <w:sz w:val="24"/>
          <w:szCs w:val="24"/>
          <w:lang w:eastAsia="pt-BR"/>
        </w:rPr>
        <w:t>RELATÓRIO</w:t>
      </w:r>
    </w:p>
    <w:p w:rsidR="00316951" w:rsidRPr="00316951" w:rsidRDefault="00316951" w:rsidP="004E07AD">
      <w:pPr>
        <w:spacing w:after="0" w:line="360" w:lineRule="auto"/>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Trata-se de </w:t>
      </w:r>
      <w:r w:rsidRPr="00316951">
        <w:rPr>
          <w:rFonts w:ascii="Arial" w:eastAsia="Times New Roman" w:hAnsi="Arial" w:cs="Arial"/>
          <w:b/>
          <w:bCs/>
          <w:sz w:val="24"/>
          <w:szCs w:val="24"/>
          <w:lang w:eastAsia="pt-BR"/>
        </w:rPr>
        <w:t>execução de título extrajudicial</w:t>
      </w:r>
      <w:r w:rsidRPr="00316951">
        <w:rPr>
          <w:rFonts w:ascii="Arial" w:eastAsia="Times New Roman" w:hAnsi="Arial" w:cs="Arial"/>
          <w:sz w:val="24"/>
          <w:szCs w:val="24"/>
          <w:lang w:eastAsia="pt-BR"/>
        </w:rPr>
        <w:t xml:space="preserve"> ajuizada em 2013 pelos exequentes em face de</w:t>
      </w:r>
      <w:bookmarkStart w:id="0" w:name="_GoBack"/>
      <w:bookmarkEnd w:id="0"/>
      <w:r w:rsidRPr="00316951">
        <w:rPr>
          <w:rFonts w:ascii="Arial" w:eastAsia="Times New Roman" w:hAnsi="Arial" w:cs="Arial"/>
          <w:sz w:val="24"/>
          <w:szCs w:val="24"/>
          <w:lang w:eastAsia="pt-BR"/>
        </w:rPr>
        <w:t xml:space="preserve"> </w:t>
      </w:r>
      <w:r w:rsidRPr="00316951">
        <w:rPr>
          <w:rFonts w:ascii="Arial" w:eastAsia="Times New Roman" w:hAnsi="Arial" w:cs="Arial"/>
          <w:b/>
          <w:bCs/>
          <w:sz w:val="24"/>
          <w:szCs w:val="24"/>
          <w:lang w:eastAsia="pt-BR"/>
        </w:rPr>
        <w:t>BENEDITA DE JESUS MONTEIRO ATHAYDE</w:t>
      </w:r>
      <w:r w:rsidRPr="00316951">
        <w:rPr>
          <w:rFonts w:ascii="Arial" w:eastAsia="Times New Roman" w:hAnsi="Arial" w:cs="Arial"/>
          <w:sz w:val="24"/>
          <w:szCs w:val="24"/>
          <w:lang w:eastAsia="pt-BR"/>
        </w:rPr>
        <w:t xml:space="preserve"> e </w:t>
      </w:r>
      <w:r w:rsidRPr="00316951">
        <w:rPr>
          <w:rFonts w:ascii="Arial" w:eastAsia="Times New Roman" w:hAnsi="Arial" w:cs="Arial"/>
          <w:b/>
          <w:bCs/>
          <w:sz w:val="24"/>
          <w:szCs w:val="24"/>
          <w:lang w:eastAsia="pt-BR"/>
        </w:rPr>
        <w:t>B G SERVIÇOS DE CABELEIREIROS LTDA ME</w:t>
      </w:r>
      <w:r w:rsidRPr="00316951">
        <w:rPr>
          <w:rFonts w:ascii="Arial" w:eastAsia="Times New Roman" w:hAnsi="Arial" w:cs="Arial"/>
          <w:sz w:val="24"/>
          <w:szCs w:val="24"/>
          <w:lang w:eastAsia="pt-BR"/>
        </w:rPr>
        <w:t xml:space="preserve">, com valor da causa de R$ 36.995,57. O processo tramitou originalmente em meio físico e foi posteriormente migrado para o sistema </w:t>
      </w:r>
      <w:proofErr w:type="spellStart"/>
      <w:r w:rsidRPr="00316951">
        <w:rPr>
          <w:rFonts w:ascii="Arial" w:eastAsia="Times New Roman" w:hAnsi="Arial" w:cs="Arial"/>
          <w:sz w:val="24"/>
          <w:szCs w:val="24"/>
          <w:lang w:eastAsia="pt-BR"/>
        </w:rPr>
        <w:t>PJe</w:t>
      </w:r>
      <w:proofErr w:type="spellEnd"/>
      <w:r w:rsidRPr="00316951">
        <w:rPr>
          <w:rFonts w:ascii="Arial" w:eastAsia="Times New Roman" w:hAnsi="Arial" w:cs="Arial"/>
          <w:sz w:val="24"/>
          <w:szCs w:val="24"/>
          <w:lang w:eastAsia="pt-BR"/>
        </w:rPr>
        <w:t xml:space="preserve">, sobre o que as partes foram intimadas por atos ordinatórios expedidos em dezembro de 2021. </w:t>
      </w:r>
    </w:p>
    <w:p w:rsidR="00316951" w:rsidRPr="00316951" w:rsidRDefault="00316951" w:rsidP="004E07AD">
      <w:pPr>
        <w:spacing w:after="0" w:line="360" w:lineRule="auto"/>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A </w:t>
      </w:r>
      <w:r w:rsidRPr="00316951">
        <w:rPr>
          <w:rFonts w:ascii="Arial" w:eastAsia="Times New Roman" w:hAnsi="Arial" w:cs="Arial"/>
          <w:b/>
          <w:bCs/>
          <w:sz w:val="24"/>
          <w:szCs w:val="24"/>
          <w:lang w:eastAsia="pt-BR"/>
        </w:rPr>
        <w:t>citação dos executados</w:t>
      </w:r>
      <w:r w:rsidRPr="00316951">
        <w:rPr>
          <w:rFonts w:ascii="Arial" w:eastAsia="Times New Roman" w:hAnsi="Arial" w:cs="Arial"/>
          <w:sz w:val="24"/>
          <w:szCs w:val="24"/>
          <w:lang w:eastAsia="pt-BR"/>
        </w:rPr>
        <w:t xml:space="preserve"> foi determinada em 13 de março de 2023, mas as diligências realizadas pelos Oficiais de Justiça restaram </w:t>
      </w:r>
      <w:r w:rsidRPr="00316951">
        <w:rPr>
          <w:rFonts w:ascii="Arial" w:eastAsia="Times New Roman" w:hAnsi="Arial" w:cs="Arial"/>
          <w:b/>
          <w:bCs/>
          <w:sz w:val="24"/>
          <w:szCs w:val="24"/>
          <w:lang w:eastAsia="pt-BR"/>
        </w:rPr>
        <w:t>infrutíferas</w:t>
      </w:r>
      <w:r w:rsidRPr="00316951">
        <w:rPr>
          <w:rFonts w:ascii="Arial" w:eastAsia="Times New Roman" w:hAnsi="Arial" w:cs="Arial"/>
          <w:sz w:val="24"/>
          <w:szCs w:val="24"/>
          <w:lang w:eastAsia="pt-BR"/>
        </w:rPr>
        <w:t xml:space="preserve">. O Oficial de Justiça </w:t>
      </w:r>
      <w:proofErr w:type="spellStart"/>
      <w:r w:rsidRPr="00316951">
        <w:rPr>
          <w:rFonts w:ascii="Arial" w:eastAsia="Times New Roman" w:hAnsi="Arial" w:cs="Arial"/>
          <w:sz w:val="24"/>
          <w:szCs w:val="24"/>
          <w:lang w:eastAsia="pt-BR"/>
        </w:rPr>
        <w:t>Gladson</w:t>
      </w:r>
      <w:proofErr w:type="spellEnd"/>
      <w:r w:rsidRPr="00316951">
        <w:rPr>
          <w:rFonts w:ascii="Arial" w:eastAsia="Times New Roman" w:hAnsi="Arial" w:cs="Arial"/>
          <w:sz w:val="24"/>
          <w:szCs w:val="24"/>
          <w:lang w:eastAsia="pt-BR"/>
        </w:rPr>
        <w:t xml:space="preserve"> Américo certificou, em maio de 2023, que no endereço constante da inicial funcionava a empresa COLORÊ DESIGN, cuja proprietária declarou desconhecer os executados (ID 93837247). Em julho de 2023, o Oficial de Justiça Andrei José </w:t>
      </w:r>
      <w:proofErr w:type="spellStart"/>
      <w:r w:rsidRPr="00316951">
        <w:rPr>
          <w:rFonts w:ascii="Arial" w:eastAsia="Times New Roman" w:hAnsi="Arial" w:cs="Arial"/>
          <w:sz w:val="24"/>
          <w:szCs w:val="24"/>
          <w:lang w:eastAsia="pt-BR"/>
        </w:rPr>
        <w:t>Jennings</w:t>
      </w:r>
      <w:proofErr w:type="spellEnd"/>
      <w:r w:rsidRPr="00316951">
        <w:rPr>
          <w:rFonts w:ascii="Arial" w:eastAsia="Times New Roman" w:hAnsi="Arial" w:cs="Arial"/>
          <w:sz w:val="24"/>
          <w:szCs w:val="24"/>
          <w:lang w:eastAsia="pt-BR"/>
        </w:rPr>
        <w:t xml:space="preserve"> da Costa Silva igualmente certificou que a comunicação processual não foi efetivada, pois a pessoa encontrada no local alegou desconhecer a parte executada (ID 96466795).</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Diante do insucesso das citações, o Juízo determinou, em novembro de 2023, a intimação da parte exequente para que se manifestasse em cinco dias (ID 104829029). Em resposta, o </w:t>
      </w:r>
      <w:r w:rsidRPr="00316951">
        <w:rPr>
          <w:rFonts w:ascii="Arial" w:eastAsia="Times New Roman" w:hAnsi="Arial" w:cs="Arial"/>
          <w:b/>
          <w:bCs/>
          <w:sz w:val="24"/>
          <w:szCs w:val="24"/>
          <w:lang w:eastAsia="pt-BR"/>
        </w:rPr>
        <w:t>BANCO BRADESCO S.A.</w:t>
      </w:r>
      <w:r w:rsidRPr="00316951">
        <w:rPr>
          <w:rFonts w:ascii="Arial" w:eastAsia="Times New Roman" w:hAnsi="Arial" w:cs="Arial"/>
          <w:sz w:val="24"/>
          <w:szCs w:val="24"/>
          <w:lang w:eastAsia="pt-BR"/>
        </w:rPr>
        <w:t xml:space="preserve"> requereu, em dezembro de 2023, a </w:t>
      </w:r>
      <w:r w:rsidRPr="00316951">
        <w:rPr>
          <w:rFonts w:ascii="Arial" w:eastAsia="Times New Roman" w:hAnsi="Arial" w:cs="Arial"/>
          <w:b/>
          <w:bCs/>
          <w:sz w:val="24"/>
          <w:szCs w:val="24"/>
          <w:lang w:eastAsia="pt-BR"/>
        </w:rPr>
        <w:t>suspensão do processo pelo prazo de um ano</w:t>
      </w:r>
      <w:r w:rsidRPr="00316951">
        <w:rPr>
          <w:rFonts w:ascii="Arial" w:eastAsia="Times New Roman" w:hAnsi="Arial" w:cs="Arial"/>
          <w:sz w:val="24"/>
          <w:szCs w:val="24"/>
          <w:lang w:eastAsia="pt-BR"/>
        </w:rPr>
        <w:t>, com fundamento no art. 921, III, §3º do CPC, alegando que não localizou bens passíveis de penhora (ID 105563532).</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Em dezembro de 2024, antes de analisar o pedido de suspensão e considerando o tempo de tramitação do feito, o Juízo determinou que o exequente se manifestasse, em dez dias, sobre a eventual ocorrência de </w:t>
      </w:r>
      <w:r w:rsidRPr="00316951">
        <w:rPr>
          <w:rFonts w:ascii="Arial" w:eastAsia="Times New Roman" w:hAnsi="Arial" w:cs="Arial"/>
          <w:b/>
          <w:bCs/>
          <w:sz w:val="24"/>
          <w:szCs w:val="24"/>
          <w:lang w:eastAsia="pt-BR"/>
        </w:rPr>
        <w:t>prescrição intercorrente</w:t>
      </w:r>
      <w:r w:rsidRPr="00316951">
        <w:rPr>
          <w:rFonts w:ascii="Arial" w:eastAsia="Times New Roman" w:hAnsi="Arial" w:cs="Arial"/>
          <w:sz w:val="24"/>
          <w:szCs w:val="24"/>
          <w:lang w:eastAsia="pt-BR"/>
        </w:rPr>
        <w:t xml:space="preserve"> e, não sendo o caso, juntasse planilha atualizada do débito (ID 133986777). O exequente manifestou-se em janeiro de 2025, sustentando a inocorrência da prescrição intercorrente com base na </w:t>
      </w:r>
      <w:r w:rsidRPr="00316951">
        <w:rPr>
          <w:rFonts w:ascii="Arial" w:eastAsia="Times New Roman" w:hAnsi="Arial" w:cs="Arial"/>
          <w:b/>
          <w:bCs/>
          <w:sz w:val="24"/>
          <w:szCs w:val="24"/>
          <w:lang w:eastAsia="pt-BR"/>
        </w:rPr>
        <w:t>Súmula 106 do STJ</w:t>
      </w:r>
      <w:r w:rsidRPr="00316951">
        <w:rPr>
          <w:rFonts w:ascii="Arial" w:eastAsia="Times New Roman" w:hAnsi="Arial" w:cs="Arial"/>
          <w:sz w:val="24"/>
          <w:szCs w:val="24"/>
          <w:lang w:eastAsia="pt-BR"/>
        </w:rPr>
        <w:t>, argumentando que a demora seria imputável exclusivamente ao serviço judiciário, e requereu a realização de penhora online via sistema SISBAJUD (ID 134396643).</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Em agosto de 2025, o Juízo proferiu novo despacho, determinando que o exequente apresentasse, no prazo improrrogável de quinze dias, </w:t>
      </w:r>
      <w:r w:rsidRPr="00316951">
        <w:rPr>
          <w:rFonts w:ascii="Arial" w:eastAsia="Times New Roman" w:hAnsi="Arial" w:cs="Arial"/>
          <w:b/>
          <w:bCs/>
          <w:sz w:val="24"/>
          <w:szCs w:val="24"/>
          <w:lang w:eastAsia="pt-BR"/>
        </w:rPr>
        <w:t xml:space="preserve">planilha </w:t>
      </w:r>
      <w:r w:rsidRPr="00316951">
        <w:rPr>
          <w:rFonts w:ascii="Arial" w:eastAsia="Times New Roman" w:hAnsi="Arial" w:cs="Arial"/>
          <w:b/>
          <w:bCs/>
          <w:sz w:val="24"/>
          <w:szCs w:val="24"/>
          <w:lang w:eastAsia="pt-BR"/>
        </w:rPr>
        <w:lastRenderedPageBreak/>
        <w:t>atualizada do débito</w:t>
      </w:r>
      <w:r w:rsidRPr="00316951">
        <w:rPr>
          <w:rFonts w:ascii="Arial" w:eastAsia="Times New Roman" w:hAnsi="Arial" w:cs="Arial"/>
          <w:sz w:val="24"/>
          <w:szCs w:val="24"/>
          <w:lang w:eastAsia="pt-BR"/>
        </w:rPr>
        <w:t xml:space="preserve"> e </w:t>
      </w:r>
      <w:r w:rsidRPr="00316951">
        <w:rPr>
          <w:rFonts w:ascii="Arial" w:eastAsia="Times New Roman" w:hAnsi="Arial" w:cs="Arial"/>
          <w:b/>
          <w:bCs/>
          <w:sz w:val="24"/>
          <w:szCs w:val="24"/>
          <w:lang w:eastAsia="pt-BR"/>
        </w:rPr>
        <w:t>indicação fundamentada de providências com dados concretos</w:t>
      </w:r>
      <w:r w:rsidRPr="00316951">
        <w:rPr>
          <w:rFonts w:ascii="Arial" w:eastAsia="Times New Roman" w:hAnsi="Arial" w:cs="Arial"/>
          <w:sz w:val="24"/>
          <w:szCs w:val="24"/>
          <w:lang w:eastAsia="pt-BR"/>
        </w:rPr>
        <w:t xml:space="preserve"> para a satisfação do crédito, superando as tentativas já realizadas e que restaram infrutíferas, sob expressa advertência de que o descumprimento poderia implicar a suspensão ou </w:t>
      </w:r>
      <w:r w:rsidRPr="00316951">
        <w:rPr>
          <w:rFonts w:ascii="Arial" w:eastAsia="Times New Roman" w:hAnsi="Arial" w:cs="Arial"/>
          <w:b/>
          <w:bCs/>
          <w:sz w:val="24"/>
          <w:szCs w:val="24"/>
          <w:lang w:eastAsia="pt-BR"/>
        </w:rPr>
        <w:t>extinção do processo</w:t>
      </w:r>
      <w:r w:rsidRPr="00316951">
        <w:rPr>
          <w:rFonts w:ascii="Arial" w:eastAsia="Times New Roman" w:hAnsi="Arial" w:cs="Arial"/>
          <w:sz w:val="24"/>
          <w:szCs w:val="24"/>
          <w:lang w:eastAsia="pt-BR"/>
        </w:rPr>
        <w:t xml:space="preserve"> (ID 155492021).</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O exequente juntou planilha de débito atualizada até 13 de janeiro de 2025, que aponta saldo devedor de </w:t>
      </w:r>
      <w:r w:rsidRPr="00316951">
        <w:rPr>
          <w:rFonts w:ascii="Arial" w:eastAsia="Times New Roman" w:hAnsi="Arial" w:cs="Arial"/>
          <w:b/>
          <w:bCs/>
          <w:sz w:val="24"/>
          <w:szCs w:val="24"/>
          <w:lang w:eastAsia="pt-BR"/>
        </w:rPr>
        <w:t>R$ 102.105,04</w:t>
      </w:r>
      <w:r w:rsidRPr="00316951">
        <w:rPr>
          <w:rFonts w:ascii="Arial" w:eastAsia="Times New Roman" w:hAnsi="Arial" w:cs="Arial"/>
          <w:sz w:val="24"/>
          <w:szCs w:val="24"/>
          <w:lang w:eastAsia="pt-BR"/>
        </w:rPr>
        <w:t xml:space="preserve"> (ID 139285013). Posteriormente, em fevereiro de 2026, o exequente requereu a habilitação de novo advogado nos autos (ID 167653856). Não consta, porém, o cumprimento da segunda obrigação imposta pelo Juízo, referente à </w:t>
      </w:r>
      <w:r w:rsidRPr="00316951">
        <w:rPr>
          <w:rFonts w:ascii="Arial" w:eastAsia="Times New Roman" w:hAnsi="Arial" w:cs="Arial"/>
          <w:b/>
          <w:bCs/>
          <w:sz w:val="24"/>
          <w:szCs w:val="24"/>
          <w:lang w:eastAsia="pt-BR"/>
        </w:rPr>
        <w:t>indicação de providências específicas e concretas</w:t>
      </w:r>
      <w:r w:rsidRPr="00316951">
        <w:rPr>
          <w:rFonts w:ascii="Arial" w:eastAsia="Times New Roman" w:hAnsi="Arial" w:cs="Arial"/>
          <w:sz w:val="24"/>
          <w:szCs w:val="24"/>
          <w:lang w:eastAsia="pt-BR"/>
        </w:rPr>
        <w:t xml:space="preserve"> para localização dos executados ou de bens penhoráveis. Não há certidão de decurso integral do prazo assinalado no despacho de agosto de 2025, mas também não há nova manifestação do exequente que atenda integralmente à determinação judicial.</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Os autos vieram conclusos para sentença.</w:t>
      </w:r>
    </w:p>
    <w:p w:rsidR="00316951" w:rsidRPr="00316951" w:rsidRDefault="00316951" w:rsidP="004E07AD">
      <w:pPr>
        <w:spacing w:after="0" w:line="360" w:lineRule="auto"/>
        <w:jc w:val="both"/>
        <w:outlineLvl w:val="0"/>
        <w:rPr>
          <w:rFonts w:ascii="Arial" w:eastAsia="Times New Roman" w:hAnsi="Arial" w:cs="Arial"/>
          <w:b/>
          <w:bCs/>
          <w:kern w:val="36"/>
          <w:sz w:val="24"/>
          <w:szCs w:val="24"/>
          <w:lang w:eastAsia="pt-BR"/>
        </w:rPr>
      </w:pPr>
      <w:r w:rsidRPr="00316951">
        <w:rPr>
          <w:rFonts w:ascii="Arial" w:eastAsia="Times New Roman" w:hAnsi="Arial" w:cs="Arial"/>
          <w:b/>
          <w:bCs/>
          <w:kern w:val="36"/>
          <w:sz w:val="24"/>
          <w:szCs w:val="24"/>
          <w:lang w:eastAsia="pt-BR"/>
        </w:rPr>
        <w:t>2. Premissas Fáticas Relevantes</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Para a adequada análise das questões jurídicas, é necessário delimitar com precisão os fatos processuais incontroversos que emergem dos autos.</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A execução foi ajuizada em </w:t>
      </w:r>
      <w:r w:rsidRPr="00316951">
        <w:rPr>
          <w:rFonts w:ascii="Arial" w:eastAsia="Times New Roman" w:hAnsi="Arial" w:cs="Arial"/>
          <w:b/>
          <w:bCs/>
          <w:sz w:val="24"/>
          <w:szCs w:val="24"/>
          <w:lang w:eastAsia="pt-BR"/>
        </w:rPr>
        <w:t>2013</w:t>
      </w:r>
      <w:r w:rsidRPr="00316951">
        <w:rPr>
          <w:rFonts w:ascii="Arial" w:eastAsia="Times New Roman" w:hAnsi="Arial" w:cs="Arial"/>
          <w:sz w:val="24"/>
          <w:szCs w:val="24"/>
          <w:lang w:eastAsia="pt-BR"/>
        </w:rPr>
        <w:t xml:space="preserve"> e, transcorridos mais de treze anos, os executados </w:t>
      </w:r>
      <w:r w:rsidRPr="00316951">
        <w:rPr>
          <w:rFonts w:ascii="Arial" w:eastAsia="Times New Roman" w:hAnsi="Arial" w:cs="Arial"/>
          <w:b/>
          <w:bCs/>
          <w:sz w:val="24"/>
          <w:szCs w:val="24"/>
          <w:lang w:eastAsia="pt-BR"/>
        </w:rPr>
        <w:t>jamais foram citados</w:t>
      </w:r>
      <w:r w:rsidRPr="00316951">
        <w:rPr>
          <w:rFonts w:ascii="Arial" w:eastAsia="Times New Roman" w:hAnsi="Arial" w:cs="Arial"/>
          <w:sz w:val="24"/>
          <w:szCs w:val="24"/>
          <w:lang w:eastAsia="pt-BR"/>
        </w:rPr>
        <w:t xml:space="preserve">. As tentativas de citação realizadas em 2023 revelaram que os executados não são encontrados no endereço indicado na petição inicial, onde atualmente funciona outra empresa, cuja responsável declarou desconhecê-los. Esse quadro fático não é novo: já em 2016, o Juízo proferira despacho determinando ao exequente que cumprisse diligências pendentes, sob pena de arquivamento. À época, o exequente limitou-se a requerer o cumprimento genérico do despacho anterior, sem apontar endereço atualizado ou bens dos devedores. </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Desde a certidão de citação frustrada de 2023, o exequente foi repetidamente instado a colaborar com o Juízo na localização dos executados ou de bens passíveis de constrição. Em todas as oportunidades, sua postura foi </w:t>
      </w:r>
      <w:r w:rsidRPr="00316951">
        <w:rPr>
          <w:rFonts w:ascii="Arial" w:eastAsia="Times New Roman" w:hAnsi="Arial" w:cs="Arial"/>
          <w:b/>
          <w:bCs/>
          <w:sz w:val="24"/>
          <w:szCs w:val="24"/>
          <w:lang w:eastAsia="pt-BR"/>
        </w:rPr>
        <w:t>passiva e genérica</w:t>
      </w:r>
      <w:r w:rsidRPr="00316951">
        <w:rPr>
          <w:rFonts w:ascii="Arial" w:eastAsia="Times New Roman" w:hAnsi="Arial" w:cs="Arial"/>
          <w:sz w:val="24"/>
          <w:szCs w:val="24"/>
          <w:lang w:eastAsia="pt-BR"/>
        </w:rPr>
        <w:t xml:space="preserve">: requereu suspensão por falta de bens (dezembro de 2023), negou a prescrição intercorrente invocando a Súmula 106 do STJ e requereu penhora online via SISBAJUD (janeiro de 2025), e juntou planilha de débito (março de 2025). Em nenhum momento o exequente forneceu endereço diverso </w:t>
      </w:r>
      <w:r w:rsidRPr="00316951">
        <w:rPr>
          <w:rFonts w:ascii="Arial" w:eastAsia="Times New Roman" w:hAnsi="Arial" w:cs="Arial"/>
          <w:sz w:val="24"/>
          <w:szCs w:val="24"/>
          <w:lang w:eastAsia="pt-BR"/>
        </w:rPr>
        <w:lastRenderedPageBreak/>
        <w:t>dos executados, indicou bens específicos ou trouxe qualquer dado concreto que permitisse o prosseguimento útil da execução.</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O </w:t>
      </w:r>
      <w:r w:rsidRPr="00316951">
        <w:rPr>
          <w:rFonts w:ascii="Arial" w:eastAsia="Times New Roman" w:hAnsi="Arial" w:cs="Arial"/>
          <w:b/>
          <w:bCs/>
          <w:sz w:val="24"/>
          <w:szCs w:val="24"/>
          <w:lang w:eastAsia="pt-BR"/>
        </w:rPr>
        <w:t>despacho de 29 de agosto de 2025</w:t>
      </w:r>
      <w:r w:rsidRPr="00316951">
        <w:rPr>
          <w:rFonts w:ascii="Arial" w:eastAsia="Times New Roman" w:hAnsi="Arial" w:cs="Arial"/>
          <w:sz w:val="24"/>
          <w:szCs w:val="24"/>
          <w:lang w:eastAsia="pt-BR"/>
        </w:rPr>
        <w:t xml:space="preserve"> (ID 155492021) representa o marco mais relevante da análise. Nessa ocasião, o Juízo, de forma clara e específica, impôs ao exequente </w:t>
      </w:r>
      <w:r w:rsidRPr="00316951">
        <w:rPr>
          <w:rFonts w:ascii="Arial" w:eastAsia="Times New Roman" w:hAnsi="Arial" w:cs="Arial"/>
          <w:b/>
          <w:bCs/>
          <w:sz w:val="24"/>
          <w:szCs w:val="24"/>
          <w:lang w:eastAsia="pt-BR"/>
        </w:rPr>
        <w:t>duas obrigações cumulativas</w:t>
      </w:r>
      <w:r w:rsidRPr="00316951">
        <w:rPr>
          <w:rFonts w:ascii="Arial" w:eastAsia="Times New Roman" w:hAnsi="Arial" w:cs="Arial"/>
          <w:sz w:val="24"/>
          <w:szCs w:val="24"/>
          <w:lang w:eastAsia="pt-BR"/>
        </w:rPr>
        <w:t xml:space="preserve"> no prazo de quinze dias: apresentar planilha atualizada do débito e indicar, com dados concretos e de forma fundamentada, providências para a satisfação do crédito. O despacho advertiu expressamente que o descumprimento poderia acarretar a </w:t>
      </w:r>
      <w:r w:rsidRPr="00316951">
        <w:rPr>
          <w:rFonts w:ascii="Arial" w:eastAsia="Times New Roman" w:hAnsi="Arial" w:cs="Arial"/>
          <w:b/>
          <w:bCs/>
          <w:sz w:val="24"/>
          <w:szCs w:val="24"/>
          <w:lang w:eastAsia="pt-BR"/>
        </w:rPr>
        <w:t>suspensão ou extinção do processo</w:t>
      </w:r>
      <w:r w:rsidRPr="00316951">
        <w:rPr>
          <w:rFonts w:ascii="Arial" w:eastAsia="Times New Roman" w:hAnsi="Arial" w:cs="Arial"/>
          <w:sz w:val="24"/>
          <w:szCs w:val="24"/>
          <w:lang w:eastAsia="pt-BR"/>
        </w:rPr>
        <w:t xml:space="preserve">. A planilha juntada pelo exequente em 20 de março de 2025 é </w:t>
      </w:r>
      <w:r w:rsidRPr="00316951">
        <w:rPr>
          <w:rFonts w:ascii="Arial" w:eastAsia="Times New Roman" w:hAnsi="Arial" w:cs="Arial"/>
          <w:b/>
          <w:bCs/>
          <w:sz w:val="24"/>
          <w:szCs w:val="24"/>
          <w:lang w:eastAsia="pt-BR"/>
        </w:rPr>
        <w:t>anterior</w:t>
      </w:r>
      <w:r w:rsidRPr="00316951">
        <w:rPr>
          <w:rFonts w:ascii="Arial" w:eastAsia="Times New Roman" w:hAnsi="Arial" w:cs="Arial"/>
          <w:sz w:val="24"/>
          <w:szCs w:val="24"/>
          <w:lang w:eastAsia="pt-BR"/>
        </w:rPr>
        <w:t xml:space="preserve"> ao próprio despacho que a determinou, </w:t>
      </w:r>
      <w:proofErr w:type="gramStart"/>
      <w:r w:rsidRPr="00316951">
        <w:rPr>
          <w:rFonts w:ascii="Arial" w:eastAsia="Times New Roman" w:hAnsi="Arial" w:cs="Arial"/>
          <w:sz w:val="24"/>
          <w:szCs w:val="24"/>
          <w:lang w:eastAsia="pt-BR"/>
        </w:rPr>
        <w:t>pois</w:t>
      </w:r>
      <w:proofErr w:type="gramEnd"/>
      <w:r w:rsidRPr="00316951">
        <w:rPr>
          <w:rFonts w:ascii="Arial" w:eastAsia="Times New Roman" w:hAnsi="Arial" w:cs="Arial"/>
          <w:sz w:val="24"/>
          <w:szCs w:val="24"/>
          <w:lang w:eastAsia="pt-BR"/>
        </w:rPr>
        <w:t xml:space="preserve"> a atualização do cálculo apresentada é de 13 de janeiro de 2025. Após o despacho de agosto de 2025, a única providência do exequente foi a habilitação de novo advogado, em fevereiro de 2026, que também não trouxe qualquer elemento novo para impulsionar a execução.</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Decorridos mais de </w:t>
      </w:r>
      <w:r w:rsidRPr="00316951">
        <w:rPr>
          <w:rFonts w:ascii="Arial" w:eastAsia="Times New Roman" w:hAnsi="Arial" w:cs="Arial"/>
          <w:b/>
          <w:bCs/>
          <w:sz w:val="24"/>
          <w:szCs w:val="24"/>
          <w:lang w:eastAsia="pt-BR"/>
        </w:rPr>
        <w:t>três anos</w:t>
      </w:r>
      <w:r w:rsidRPr="00316951">
        <w:rPr>
          <w:rFonts w:ascii="Arial" w:eastAsia="Times New Roman" w:hAnsi="Arial" w:cs="Arial"/>
          <w:sz w:val="24"/>
          <w:szCs w:val="24"/>
          <w:lang w:eastAsia="pt-BR"/>
        </w:rPr>
        <w:t xml:space="preserve"> desde a citação frustrada de 2023, e mais de </w:t>
      </w:r>
      <w:r w:rsidRPr="00316951">
        <w:rPr>
          <w:rFonts w:ascii="Arial" w:eastAsia="Times New Roman" w:hAnsi="Arial" w:cs="Arial"/>
          <w:b/>
          <w:bCs/>
          <w:sz w:val="24"/>
          <w:szCs w:val="24"/>
          <w:lang w:eastAsia="pt-BR"/>
        </w:rPr>
        <w:t>treze anos</w:t>
      </w:r>
      <w:r w:rsidRPr="00316951">
        <w:rPr>
          <w:rFonts w:ascii="Arial" w:eastAsia="Times New Roman" w:hAnsi="Arial" w:cs="Arial"/>
          <w:sz w:val="24"/>
          <w:szCs w:val="24"/>
          <w:lang w:eastAsia="pt-BR"/>
        </w:rPr>
        <w:t xml:space="preserve"> desde o ajuizamento da ação, o exequente permanece sem indicar qualquer meio efetivo para localizar os executados ou seus bens. O quadro processual revela execução estagnada por impossibilidade de citação e por inércia do credor, que, apesar de instado e advertido, não apresentou as informações necessárias ao prosseguimento do feito.</w:t>
      </w:r>
    </w:p>
    <w:p w:rsidR="00316951" w:rsidRPr="00316951" w:rsidRDefault="00316951" w:rsidP="004E07AD">
      <w:pPr>
        <w:spacing w:after="0" w:line="360" w:lineRule="auto"/>
        <w:jc w:val="both"/>
        <w:outlineLvl w:val="0"/>
        <w:rPr>
          <w:rFonts w:ascii="Arial" w:eastAsia="Times New Roman" w:hAnsi="Arial" w:cs="Arial"/>
          <w:b/>
          <w:bCs/>
          <w:kern w:val="36"/>
          <w:sz w:val="24"/>
          <w:szCs w:val="24"/>
          <w:lang w:eastAsia="pt-BR"/>
        </w:rPr>
      </w:pPr>
      <w:r w:rsidRPr="00316951">
        <w:rPr>
          <w:rFonts w:ascii="Arial" w:eastAsia="Times New Roman" w:hAnsi="Arial" w:cs="Arial"/>
          <w:b/>
          <w:bCs/>
          <w:kern w:val="36"/>
          <w:sz w:val="24"/>
          <w:szCs w:val="24"/>
          <w:lang w:eastAsia="pt-BR"/>
        </w:rPr>
        <w:t>3. Fundamentação: Prescrição Intercorrente</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A </w:t>
      </w:r>
      <w:r w:rsidRPr="00316951">
        <w:rPr>
          <w:rFonts w:ascii="Arial" w:eastAsia="Times New Roman" w:hAnsi="Arial" w:cs="Arial"/>
          <w:b/>
          <w:bCs/>
          <w:sz w:val="24"/>
          <w:szCs w:val="24"/>
          <w:lang w:eastAsia="pt-BR"/>
        </w:rPr>
        <w:t>prescrição intercorrente</w:t>
      </w:r>
      <w:r w:rsidRPr="00316951">
        <w:rPr>
          <w:rFonts w:ascii="Arial" w:eastAsia="Times New Roman" w:hAnsi="Arial" w:cs="Arial"/>
          <w:sz w:val="24"/>
          <w:szCs w:val="24"/>
          <w:lang w:eastAsia="pt-BR"/>
        </w:rPr>
        <w:t xml:space="preserve"> é instituto voltado a impedir a eternização das execuções, sancionando a inércia do credor que deixa de promover os atos necessários à satisfação de seu crédito por tempo superior ao prazo prescricional aplicável. O art. 921 do Código de Processo Civil, invocado pelo próprio exequente para requerer a suspensão do processo, disciplina a matéria: uma vez verificada a inexistência de bens penhoráveis, o processo é suspenso pelo prazo de um ano, durante o qual também se suspende o prazo prescricional. Decorrido esse período sem manifestação útil do exequente, o prazo prescricional retoma seu curso, e, transcorridos cinco anos sem promoção de atos efetivos, opera-se a prescrição intercorrente.</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O prazo prescricional aplicável à pretensão executiva fundada em título extrajudicial é de </w:t>
      </w:r>
      <w:r w:rsidRPr="00316951">
        <w:rPr>
          <w:rFonts w:ascii="Arial" w:eastAsia="Times New Roman" w:hAnsi="Arial" w:cs="Arial"/>
          <w:b/>
          <w:bCs/>
          <w:sz w:val="24"/>
          <w:szCs w:val="24"/>
          <w:lang w:eastAsia="pt-BR"/>
        </w:rPr>
        <w:t>cinco anos</w:t>
      </w:r>
      <w:r w:rsidRPr="00316951">
        <w:rPr>
          <w:rFonts w:ascii="Arial" w:eastAsia="Times New Roman" w:hAnsi="Arial" w:cs="Arial"/>
          <w:sz w:val="24"/>
          <w:szCs w:val="24"/>
          <w:lang w:eastAsia="pt-BR"/>
        </w:rPr>
        <w:t xml:space="preserve"> (art. 206, §5º, I, do Código Civil), sendo esse também o prazo da prescrição intercorrente na execução. O termo inicial da </w:t>
      </w:r>
      <w:r w:rsidRPr="00316951">
        <w:rPr>
          <w:rFonts w:ascii="Arial" w:eastAsia="Times New Roman" w:hAnsi="Arial" w:cs="Arial"/>
          <w:sz w:val="24"/>
          <w:szCs w:val="24"/>
          <w:lang w:eastAsia="pt-BR"/>
        </w:rPr>
        <w:lastRenderedPageBreak/>
        <w:t>prescrição intercorrente é o momento em que o exequente, podendo atuar, deixa de fazê-lo, ou seja, a data a partir da qual sua inércia se torna juridicamente relevante.</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No caso concreto, a execução foi ajuizada em 2013 e o débito que se pretende cobrar data de </w:t>
      </w:r>
      <w:r w:rsidRPr="00316951">
        <w:rPr>
          <w:rFonts w:ascii="Arial" w:eastAsia="Times New Roman" w:hAnsi="Arial" w:cs="Arial"/>
          <w:b/>
          <w:bCs/>
          <w:sz w:val="24"/>
          <w:szCs w:val="24"/>
          <w:lang w:eastAsia="pt-BR"/>
        </w:rPr>
        <w:t>agosto de 2012</w:t>
      </w:r>
      <w:r w:rsidRPr="00316951">
        <w:rPr>
          <w:rFonts w:ascii="Arial" w:eastAsia="Times New Roman" w:hAnsi="Arial" w:cs="Arial"/>
          <w:sz w:val="24"/>
          <w:szCs w:val="24"/>
          <w:lang w:eastAsia="pt-BR"/>
        </w:rPr>
        <w:t xml:space="preserve">. Embora o ajuizamento da ação tenha interrompido a prescrição originária, o processo permaneceu estagnado por mais de uma década sem que a citação dos executados fosse efetivada. O ponto crítico para a análise da prescrição intercorrente situa-se a partir de </w:t>
      </w:r>
      <w:r w:rsidRPr="00316951">
        <w:rPr>
          <w:rFonts w:ascii="Arial" w:eastAsia="Times New Roman" w:hAnsi="Arial" w:cs="Arial"/>
          <w:b/>
          <w:bCs/>
          <w:sz w:val="24"/>
          <w:szCs w:val="24"/>
          <w:lang w:eastAsia="pt-BR"/>
        </w:rPr>
        <w:t>maio de 2023</w:t>
      </w:r>
      <w:r w:rsidRPr="00316951">
        <w:rPr>
          <w:rFonts w:ascii="Arial" w:eastAsia="Times New Roman" w:hAnsi="Arial" w:cs="Arial"/>
          <w:sz w:val="24"/>
          <w:szCs w:val="24"/>
          <w:lang w:eastAsia="pt-BR"/>
        </w:rPr>
        <w:t xml:space="preserve">, quando restou certificado que os executados não se encontravam no endereço declinado na inicial. </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A partir desse momento, incumbia ao exequente impulsionar a execução com atos concretos e eficazes. Em vez disso, o exequente limitou-se a requerer a suspensão do processo por falta de bens (dezembro de 2023) e, posteriormente, a pleitear penhora online genérica via SISBAJUD (janeiro de 2025). Esses requerimentos, contudo, não constituem atos úteis de impulso processual: a suspensão por falta de bens pressupõe tentativa prévia e infrutífera de constrição, o que sequer ocorreu, </w:t>
      </w:r>
      <w:proofErr w:type="gramStart"/>
      <w:r w:rsidRPr="00316951">
        <w:rPr>
          <w:rFonts w:ascii="Arial" w:eastAsia="Times New Roman" w:hAnsi="Arial" w:cs="Arial"/>
          <w:sz w:val="24"/>
          <w:szCs w:val="24"/>
          <w:lang w:eastAsia="pt-BR"/>
        </w:rPr>
        <w:t>pois</w:t>
      </w:r>
      <w:proofErr w:type="gramEnd"/>
      <w:r w:rsidRPr="00316951">
        <w:rPr>
          <w:rFonts w:ascii="Arial" w:eastAsia="Times New Roman" w:hAnsi="Arial" w:cs="Arial"/>
          <w:sz w:val="24"/>
          <w:szCs w:val="24"/>
          <w:lang w:eastAsia="pt-BR"/>
        </w:rPr>
        <w:t xml:space="preserve"> a citação não foi completada; a penhora online, por sua vez, foi requerida sem qualquer indicação de dados bancários concretos ou de indícios de que os executados mantivessem valores em instituições financeiras.</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O Juízo, atento à estagnação do feito, intimou o exequente em dezembro de 2024 para que se manifestasse especificamente sobre a prescrição intercorrente. Na oportunidade, o exequente invocou a </w:t>
      </w:r>
      <w:r w:rsidRPr="00316951">
        <w:rPr>
          <w:rFonts w:ascii="Arial" w:eastAsia="Times New Roman" w:hAnsi="Arial" w:cs="Arial"/>
          <w:b/>
          <w:bCs/>
          <w:sz w:val="24"/>
          <w:szCs w:val="24"/>
          <w:lang w:eastAsia="pt-BR"/>
        </w:rPr>
        <w:t>Súmula 106 do STJ</w:t>
      </w:r>
      <w:r w:rsidRPr="00316951">
        <w:rPr>
          <w:rFonts w:ascii="Arial" w:eastAsia="Times New Roman" w:hAnsi="Arial" w:cs="Arial"/>
          <w:sz w:val="24"/>
          <w:szCs w:val="24"/>
          <w:lang w:eastAsia="pt-BR"/>
        </w:rPr>
        <w:t xml:space="preserve">, que dispõe que a demora na citação por motivos inerentes ao mecanismo da Justiça não justifica o acolhimento da arguição de prescrição ou decadência. A súmula, contudo, não socorre o exequente na hipótese dos autos. A demora na citação, no caso, não decorreu exclusivamente de entraves do Judiciário: ela decorreu, em primeiro lugar, da indicação de endereço desatualizado pelo próprio exequente e, em segundo lugar, da </w:t>
      </w:r>
      <w:r w:rsidRPr="00316951">
        <w:rPr>
          <w:rFonts w:ascii="Arial" w:eastAsia="Times New Roman" w:hAnsi="Arial" w:cs="Arial"/>
          <w:b/>
          <w:bCs/>
          <w:sz w:val="24"/>
          <w:szCs w:val="24"/>
          <w:lang w:eastAsia="pt-BR"/>
        </w:rPr>
        <w:t>ausência de colaboração do credor</w:t>
      </w:r>
      <w:r w:rsidRPr="00316951">
        <w:rPr>
          <w:rFonts w:ascii="Arial" w:eastAsia="Times New Roman" w:hAnsi="Arial" w:cs="Arial"/>
          <w:sz w:val="24"/>
          <w:szCs w:val="24"/>
          <w:lang w:eastAsia="pt-BR"/>
        </w:rPr>
        <w:t xml:space="preserve"> em fornecer novos elementos para localização dos devedores.</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A Súmula 106 do STJ protege a parte que age com diligência e cuja pretensão é frustrada pela morosidade do aparato judicial. Ela não ampara o credor que, intimado a indicar meios para o prosseguimento da execução, permanece inerte por anos, limitando-se a pedidos genéricos e a sucessivas </w:t>
      </w:r>
      <w:r w:rsidRPr="00316951">
        <w:rPr>
          <w:rFonts w:ascii="Arial" w:eastAsia="Times New Roman" w:hAnsi="Arial" w:cs="Arial"/>
          <w:sz w:val="24"/>
          <w:szCs w:val="24"/>
          <w:lang w:eastAsia="pt-BR"/>
        </w:rPr>
        <w:lastRenderedPageBreak/>
        <w:t xml:space="preserve">trocas de advogado sem qualquer contribuição efetiva para o deslinde do feito. A inércia do exequente, que se prolonga de 2023 até a presente data, configura </w:t>
      </w:r>
      <w:r w:rsidRPr="00316951">
        <w:rPr>
          <w:rFonts w:ascii="Arial" w:eastAsia="Times New Roman" w:hAnsi="Arial" w:cs="Arial"/>
          <w:b/>
          <w:bCs/>
          <w:sz w:val="24"/>
          <w:szCs w:val="24"/>
          <w:lang w:eastAsia="pt-BR"/>
        </w:rPr>
        <w:t>abandono da pretensão executiva</w:t>
      </w:r>
      <w:r w:rsidRPr="00316951">
        <w:rPr>
          <w:rFonts w:ascii="Arial" w:eastAsia="Times New Roman" w:hAnsi="Arial" w:cs="Arial"/>
          <w:sz w:val="24"/>
          <w:szCs w:val="24"/>
          <w:lang w:eastAsia="pt-BR"/>
        </w:rPr>
        <w:t xml:space="preserve"> que ultrapassa, em muito, o prazo razoável para que o credor diligente tome as providências ao seu alcance.</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O marco mais eloquente dessa inércia é o </w:t>
      </w:r>
      <w:r w:rsidRPr="00316951">
        <w:rPr>
          <w:rFonts w:ascii="Arial" w:eastAsia="Times New Roman" w:hAnsi="Arial" w:cs="Arial"/>
          <w:b/>
          <w:bCs/>
          <w:sz w:val="24"/>
          <w:szCs w:val="24"/>
          <w:lang w:eastAsia="pt-BR"/>
        </w:rPr>
        <w:t>descumprimento do despacho de agosto de 2025</w:t>
      </w:r>
      <w:r w:rsidRPr="00316951">
        <w:rPr>
          <w:rFonts w:ascii="Arial" w:eastAsia="Times New Roman" w:hAnsi="Arial" w:cs="Arial"/>
          <w:sz w:val="24"/>
          <w:szCs w:val="24"/>
          <w:lang w:eastAsia="pt-BR"/>
        </w:rPr>
        <w:t>, que, de forma expressa e sob advertência de extinção, determinou ao exequente que indicasse providências concretas e específicas para satisfação do crédito. Decorrido o prazo assinalado, o exequente não cumpriu essa determinação. A habilitação de novo patrono em fevereiro de 2026 não supre a omissão, pois o novo advogado também não trouxe qualquer elemento que permitisse o prosseguimento da execução.</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Reconhecida a prescrição intercorrente, a consequência jurídica é a </w:t>
      </w:r>
      <w:r w:rsidRPr="00316951">
        <w:rPr>
          <w:rFonts w:ascii="Arial" w:eastAsia="Times New Roman" w:hAnsi="Arial" w:cs="Arial"/>
          <w:b/>
          <w:bCs/>
          <w:sz w:val="24"/>
          <w:szCs w:val="24"/>
          <w:lang w:eastAsia="pt-BR"/>
        </w:rPr>
        <w:t>extinção do processo com resolução de mérito</w:t>
      </w:r>
      <w:r w:rsidRPr="00316951">
        <w:rPr>
          <w:rFonts w:ascii="Arial" w:eastAsia="Times New Roman" w:hAnsi="Arial" w:cs="Arial"/>
          <w:sz w:val="24"/>
          <w:szCs w:val="24"/>
          <w:lang w:eastAsia="pt-BR"/>
        </w:rPr>
        <w:t>, nos termos do art. 487, II, do Código de Processo Civil, porquanto a prescrição atinge a própria pretensão executiva, tornando-a inexigível. O pronunciamento, nesse caso, pode e deve ser feito de ofício, conforme autoriza o art. 921, §4º, do CPC, após a intimação do exequente, providência que foi rigorosamente observada nestes autos.</w:t>
      </w:r>
    </w:p>
    <w:p w:rsidR="00316951" w:rsidRPr="00316951" w:rsidRDefault="00316951" w:rsidP="004E07AD">
      <w:pPr>
        <w:spacing w:after="0" w:line="360" w:lineRule="auto"/>
        <w:jc w:val="both"/>
        <w:outlineLvl w:val="0"/>
        <w:rPr>
          <w:rFonts w:ascii="Arial" w:eastAsia="Times New Roman" w:hAnsi="Arial" w:cs="Arial"/>
          <w:b/>
          <w:bCs/>
          <w:kern w:val="36"/>
          <w:sz w:val="24"/>
          <w:szCs w:val="24"/>
          <w:lang w:eastAsia="pt-BR"/>
        </w:rPr>
      </w:pPr>
      <w:r w:rsidRPr="00316951">
        <w:rPr>
          <w:rFonts w:ascii="Arial" w:eastAsia="Times New Roman" w:hAnsi="Arial" w:cs="Arial"/>
          <w:b/>
          <w:bCs/>
          <w:kern w:val="36"/>
          <w:sz w:val="24"/>
          <w:szCs w:val="24"/>
          <w:lang w:eastAsia="pt-BR"/>
        </w:rPr>
        <w:t>4. Fundamentação: Inércia do Exequente e Descumprimento de Determinação Judicial</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Ainda que não se reconhecesse a prescrição intercorrente, o processo comportaria </w:t>
      </w:r>
      <w:r w:rsidRPr="00316951">
        <w:rPr>
          <w:rFonts w:ascii="Arial" w:eastAsia="Times New Roman" w:hAnsi="Arial" w:cs="Arial"/>
          <w:b/>
          <w:bCs/>
          <w:sz w:val="24"/>
          <w:szCs w:val="24"/>
          <w:lang w:eastAsia="pt-BR"/>
        </w:rPr>
        <w:t>extinção por inércia do exequente</w:t>
      </w:r>
      <w:r w:rsidRPr="00316951">
        <w:rPr>
          <w:rFonts w:ascii="Arial" w:eastAsia="Times New Roman" w:hAnsi="Arial" w:cs="Arial"/>
          <w:sz w:val="24"/>
          <w:szCs w:val="24"/>
          <w:lang w:eastAsia="pt-BR"/>
        </w:rPr>
        <w:t xml:space="preserve">, que descumpriu determinação judicial expressa e deixou de promover os atos necessários ao prosseguimento da execução. O quadro fático delineado nas premissas desta sentença revela postura reiterada de passividade que configura </w:t>
      </w:r>
      <w:r w:rsidRPr="00316951">
        <w:rPr>
          <w:rFonts w:ascii="Arial" w:eastAsia="Times New Roman" w:hAnsi="Arial" w:cs="Arial"/>
          <w:b/>
          <w:bCs/>
          <w:sz w:val="24"/>
          <w:szCs w:val="24"/>
          <w:lang w:eastAsia="pt-BR"/>
        </w:rPr>
        <w:t>abandono da causa</w:t>
      </w:r>
      <w:r w:rsidRPr="00316951">
        <w:rPr>
          <w:rFonts w:ascii="Arial" w:eastAsia="Times New Roman" w:hAnsi="Arial" w:cs="Arial"/>
          <w:sz w:val="24"/>
          <w:szCs w:val="24"/>
          <w:lang w:eastAsia="pt-BR"/>
        </w:rPr>
        <w:t>.</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O </w:t>
      </w:r>
      <w:r w:rsidRPr="00316951">
        <w:rPr>
          <w:rFonts w:ascii="Arial" w:eastAsia="Times New Roman" w:hAnsi="Arial" w:cs="Arial"/>
          <w:b/>
          <w:bCs/>
          <w:sz w:val="24"/>
          <w:szCs w:val="24"/>
          <w:lang w:eastAsia="pt-BR"/>
        </w:rPr>
        <w:t>despacho de 29 de agosto de 2025</w:t>
      </w:r>
      <w:r w:rsidRPr="00316951">
        <w:rPr>
          <w:rFonts w:ascii="Arial" w:eastAsia="Times New Roman" w:hAnsi="Arial" w:cs="Arial"/>
          <w:sz w:val="24"/>
          <w:szCs w:val="24"/>
          <w:lang w:eastAsia="pt-BR"/>
        </w:rPr>
        <w:t xml:space="preserve"> (ID 155492021) é o elemento central para a análise deste fundamento. Naquela ocasião, o Juízo impôs ao exequente duas obrigações cumulativas no prazo improrrogável de quinze dias: a apresentação de planilha atualizada do débito e a </w:t>
      </w:r>
      <w:r w:rsidRPr="00316951">
        <w:rPr>
          <w:rFonts w:ascii="Arial" w:eastAsia="Times New Roman" w:hAnsi="Arial" w:cs="Arial"/>
          <w:b/>
          <w:bCs/>
          <w:sz w:val="24"/>
          <w:szCs w:val="24"/>
          <w:lang w:eastAsia="pt-BR"/>
        </w:rPr>
        <w:t>indicação fundamentada de providências com dados concretos</w:t>
      </w:r>
      <w:r w:rsidRPr="00316951">
        <w:rPr>
          <w:rFonts w:ascii="Arial" w:eastAsia="Times New Roman" w:hAnsi="Arial" w:cs="Arial"/>
          <w:sz w:val="24"/>
          <w:szCs w:val="24"/>
          <w:lang w:eastAsia="pt-BR"/>
        </w:rPr>
        <w:t xml:space="preserve"> para a satisfação do crédito. O despacho advertiu expressamente que o descumprimento poderia implicar a </w:t>
      </w:r>
      <w:r w:rsidRPr="00316951">
        <w:rPr>
          <w:rFonts w:ascii="Arial" w:eastAsia="Times New Roman" w:hAnsi="Arial" w:cs="Arial"/>
          <w:b/>
          <w:bCs/>
          <w:sz w:val="24"/>
          <w:szCs w:val="24"/>
          <w:lang w:eastAsia="pt-BR"/>
        </w:rPr>
        <w:t>suspensão ou extinção do processo</w:t>
      </w:r>
      <w:r w:rsidRPr="00316951">
        <w:rPr>
          <w:rFonts w:ascii="Arial" w:eastAsia="Times New Roman" w:hAnsi="Arial" w:cs="Arial"/>
          <w:sz w:val="24"/>
          <w:szCs w:val="24"/>
          <w:lang w:eastAsia="pt-BR"/>
        </w:rPr>
        <w:t>, nos termos da legislação processual civil vigente.</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lastRenderedPageBreak/>
        <w:t xml:space="preserve">O exequente cumpriu apenas uma das obrigações impostas. A planilha de débito juntada em 20 de março de 2025 é anterior ao próprio despacho que a determinou, </w:t>
      </w:r>
      <w:proofErr w:type="gramStart"/>
      <w:r w:rsidRPr="00316951">
        <w:rPr>
          <w:rFonts w:ascii="Arial" w:eastAsia="Times New Roman" w:hAnsi="Arial" w:cs="Arial"/>
          <w:sz w:val="24"/>
          <w:szCs w:val="24"/>
          <w:lang w:eastAsia="pt-BR"/>
        </w:rPr>
        <w:t>pois</w:t>
      </w:r>
      <w:proofErr w:type="gramEnd"/>
      <w:r w:rsidRPr="00316951">
        <w:rPr>
          <w:rFonts w:ascii="Arial" w:eastAsia="Times New Roman" w:hAnsi="Arial" w:cs="Arial"/>
          <w:sz w:val="24"/>
          <w:szCs w:val="24"/>
          <w:lang w:eastAsia="pt-BR"/>
        </w:rPr>
        <w:t xml:space="preserve"> a atualização apresentada é de 13 de janeiro de 2025. Quanto à segunda obrigação, a mais relevante para o </w:t>
      </w:r>
      <w:proofErr w:type="spellStart"/>
      <w:r w:rsidRPr="00316951">
        <w:rPr>
          <w:rFonts w:ascii="Arial" w:eastAsia="Times New Roman" w:hAnsi="Arial" w:cs="Arial"/>
          <w:sz w:val="24"/>
          <w:szCs w:val="24"/>
          <w:lang w:eastAsia="pt-BR"/>
        </w:rPr>
        <w:t>impulsionamento</w:t>
      </w:r>
      <w:proofErr w:type="spellEnd"/>
      <w:r w:rsidRPr="00316951">
        <w:rPr>
          <w:rFonts w:ascii="Arial" w:eastAsia="Times New Roman" w:hAnsi="Arial" w:cs="Arial"/>
          <w:sz w:val="24"/>
          <w:szCs w:val="24"/>
          <w:lang w:eastAsia="pt-BR"/>
        </w:rPr>
        <w:t xml:space="preserve"> do feito, o exequente simplesmente </w:t>
      </w:r>
      <w:r w:rsidRPr="00316951">
        <w:rPr>
          <w:rFonts w:ascii="Arial" w:eastAsia="Times New Roman" w:hAnsi="Arial" w:cs="Arial"/>
          <w:b/>
          <w:bCs/>
          <w:sz w:val="24"/>
          <w:szCs w:val="24"/>
          <w:lang w:eastAsia="pt-BR"/>
        </w:rPr>
        <w:t>nada fez</w:t>
      </w:r>
      <w:r w:rsidRPr="00316951">
        <w:rPr>
          <w:rFonts w:ascii="Arial" w:eastAsia="Times New Roman" w:hAnsi="Arial" w:cs="Arial"/>
          <w:sz w:val="24"/>
          <w:szCs w:val="24"/>
          <w:lang w:eastAsia="pt-BR"/>
        </w:rPr>
        <w:t>: não indicou endereço alternativo dos executados, não apontou bens passíveis de penhora, não sugeriu diligência específica e não trouxe ao processo qualquer dado concreto que pudesse reverter o quadro de estagnação.</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A </w:t>
      </w:r>
      <w:r w:rsidRPr="00316951">
        <w:rPr>
          <w:rFonts w:ascii="Arial" w:eastAsia="Times New Roman" w:hAnsi="Arial" w:cs="Arial"/>
          <w:b/>
          <w:bCs/>
          <w:sz w:val="24"/>
          <w:szCs w:val="24"/>
          <w:lang w:eastAsia="pt-BR"/>
        </w:rPr>
        <w:t>habilitação de novo advogado</w:t>
      </w:r>
      <w:r w:rsidRPr="00316951">
        <w:rPr>
          <w:rFonts w:ascii="Arial" w:eastAsia="Times New Roman" w:hAnsi="Arial" w:cs="Arial"/>
          <w:sz w:val="24"/>
          <w:szCs w:val="24"/>
          <w:lang w:eastAsia="pt-BR"/>
        </w:rPr>
        <w:t>, requerida em 11 de fevereiro de 2026 (ID 167653856), não supre a omissão. A substituição de patronos constituídos é direito da parte, mas não substitui a obrigação de colaborar com o Juízo para o efetivo prosseguimento da execução. O novo causídico também não apresentou requerimento específico, não indicou diligências e não trouxe qualquer informação que pudesse alterar o estado de paralisia do feito. A troca de advogados, no contexto destes autos, mais se aproxima de um expediente protelatório do que de um esforço real para satisfazer o crédito.</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A inércia do exequente não é fato isolado nem recente. Desde </w:t>
      </w:r>
      <w:r w:rsidRPr="00316951">
        <w:rPr>
          <w:rFonts w:ascii="Arial" w:eastAsia="Times New Roman" w:hAnsi="Arial" w:cs="Arial"/>
          <w:b/>
          <w:bCs/>
          <w:sz w:val="24"/>
          <w:szCs w:val="24"/>
          <w:lang w:eastAsia="pt-BR"/>
        </w:rPr>
        <w:t>2023</w:t>
      </w:r>
      <w:r w:rsidRPr="00316951">
        <w:rPr>
          <w:rFonts w:ascii="Arial" w:eastAsia="Times New Roman" w:hAnsi="Arial" w:cs="Arial"/>
          <w:sz w:val="24"/>
          <w:szCs w:val="24"/>
          <w:lang w:eastAsia="pt-BR"/>
        </w:rPr>
        <w:t xml:space="preserve">, quando restou certificado que os executados não eram encontrados no endereço declinado na inicial, o credor foi repetidamente instado a fornecer meios para o prosseguimento da execução. Em cada oportunidade, sua resposta foi genérica e insuficiente: requereu suspensão sem indicar bens, pediu penhora online sem apontar dados bancários e trocou de advogados sem apresentar soluções. O descumprimento do despacho de agosto de 2025 é o ápice de uma conduta processual marcada pela </w:t>
      </w:r>
      <w:r w:rsidRPr="00316951">
        <w:rPr>
          <w:rFonts w:ascii="Arial" w:eastAsia="Times New Roman" w:hAnsi="Arial" w:cs="Arial"/>
          <w:b/>
          <w:bCs/>
          <w:sz w:val="24"/>
          <w:szCs w:val="24"/>
          <w:lang w:eastAsia="pt-BR"/>
        </w:rPr>
        <w:t>falta de cooperação e pelo desinteresse na satisfação do crédito</w:t>
      </w:r>
      <w:r w:rsidRPr="00316951">
        <w:rPr>
          <w:rFonts w:ascii="Arial" w:eastAsia="Times New Roman" w:hAnsi="Arial" w:cs="Arial"/>
          <w:sz w:val="24"/>
          <w:szCs w:val="24"/>
          <w:lang w:eastAsia="pt-BR"/>
        </w:rPr>
        <w:t>.</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O </w:t>
      </w:r>
      <w:r w:rsidRPr="00316951">
        <w:rPr>
          <w:rFonts w:ascii="Arial" w:eastAsia="Times New Roman" w:hAnsi="Arial" w:cs="Arial"/>
          <w:b/>
          <w:bCs/>
          <w:sz w:val="24"/>
          <w:szCs w:val="24"/>
          <w:lang w:eastAsia="pt-BR"/>
        </w:rPr>
        <w:t>art. 485, III, do Código de Processo Civil</w:t>
      </w:r>
      <w:r w:rsidRPr="00316951">
        <w:rPr>
          <w:rFonts w:ascii="Arial" w:eastAsia="Times New Roman" w:hAnsi="Arial" w:cs="Arial"/>
          <w:sz w:val="24"/>
          <w:szCs w:val="24"/>
          <w:lang w:eastAsia="pt-BR"/>
        </w:rPr>
        <w:t xml:space="preserve"> autoriza a extinção do processo sem resolução de mérito quando a parte, intimada pessoalmente para suprir a falta de pressuposto de desenvolvimento válido e regular do processo, não atende à determinação no prazo assinalado. A falta de impulso útil por parte do exequente, que impede o prosseguimento da execução, enquadra-se nessa hipótese. O exequente foi intimado e advertido, teve prazo para cumprir a determinação e quedou-se inerte.</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A extinção por inércia também se impõe à luz do </w:t>
      </w:r>
      <w:r w:rsidRPr="00316951">
        <w:rPr>
          <w:rFonts w:ascii="Arial" w:eastAsia="Times New Roman" w:hAnsi="Arial" w:cs="Arial"/>
          <w:b/>
          <w:bCs/>
          <w:sz w:val="24"/>
          <w:szCs w:val="24"/>
          <w:lang w:eastAsia="pt-BR"/>
        </w:rPr>
        <w:t>princípio da duração razoável do processo</w:t>
      </w:r>
      <w:r w:rsidRPr="00316951">
        <w:rPr>
          <w:rFonts w:ascii="Arial" w:eastAsia="Times New Roman" w:hAnsi="Arial" w:cs="Arial"/>
          <w:sz w:val="24"/>
          <w:szCs w:val="24"/>
          <w:lang w:eastAsia="pt-BR"/>
        </w:rPr>
        <w:t xml:space="preserve">, consagrado no art. 5º, LXXVIII, da Constituição </w:t>
      </w:r>
      <w:r w:rsidRPr="00316951">
        <w:rPr>
          <w:rFonts w:ascii="Arial" w:eastAsia="Times New Roman" w:hAnsi="Arial" w:cs="Arial"/>
          <w:sz w:val="24"/>
          <w:szCs w:val="24"/>
          <w:lang w:eastAsia="pt-BR"/>
        </w:rPr>
        <w:lastRenderedPageBreak/>
        <w:t xml:space="preserve">Federal. Uma execução que tramita por mais de </w:t>
      </w:r>
      <w:r w:rsidRPr="00316951">
        <w:rPr>
          <w:rFonts w:ascii="Arial" w:eastAsia="Times New Roman" w:hAnsi="Arial" w:cs="Arial"/>
          <w:b/>
          <w:bCs/>
          <w:sz w:val="24"/>
          <w:szCs w:val="24"/>
          <w:lang w:eastAsia="pt-BR"/>
        </w:rPr>
        <w:t>treze anos</w:t>
      </w:r>
      <w:r w:rsidRPr="00316951">
        <w:rPr>
          <w:rFonts w:ascii="Arial" w:eastAsia="Times New Roman" w:hAnsi="Arial" w:cs="Arial"/>
          <w:sz w:val="24"/>
          <w:szCs w:val="24"/>
          <w:lang w:eastAsia="pt-BR"/>
        </w:rPr>
        <w:t xml:space="preserve"> sem que os executados tenham sido citados, e cujo credor permanece passivo apesar das determinações judiciais, não pode ser mantida indefinidamente. A perpetuação de um feito sem perspectiva de resultado útil consome recursos do Poder Judiciário e compromete a efetividade da jurisdição. O arquivamento é medida que prestigia a eficiência processual e sanciona o abandono da pretensão executiva pelo próprio credor.</w:t>
      </w:r>
    </w:p>
    <w:p w:rsidR="00316951" w:rsidRPr="00316951" w:rsidRDefault="00316951" w:rsidP="004E07AD">
      <w:pPr>
        <w:spacing w:after="0" w:line="360" w:lineRule="auto"/>
        <w:jc w:val="both"/>
        <w:outlineLvl w:val="0"/>
        <w:rPr>
          <w:rFonts w:ascii="Arial" w:eastAsia="Times New Roman" w:hAnsi="Arial" w:cs="Arial"/>
          <w:b/>
          <w:bCs/>
          <w:kern w:val="36"/>
          <w:sz w:val="24"/>
          <w:szCs w:val="24"/>
          <w:lang w:eastAsia="pt-BR"/>
        </w:rPr>
      </w:pPr>
      <w:r w:rsidRPr="00316951">
        <w:rPr>
          <w:rFonts w:ascii="Arial" w:eastAsia="Times New Roman" w:hAnsi="Arial" w:cs="Arial"/>
          <w:b/>
          <w:bCs/>
          <w:kern w:val="36"/>
          <w:sz w:val="24"/>
          <w:szCs w:val="24"/>
          <w:lang w:eastAsia="pt-BR"/>
        </w:rPr>
        <w:t>5. Dispositivo e Encerramento</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Ante o exposto, </w:t>
      </w:r>
      <w:r w:rsidRPr="00316951">
        <w:rPr>
          <w:rFonts w:ascii="Arial" w:eastAsia="Times New Roman" w:hAnsi="Arial" w:cs="Arial"/>
          <w:b/>
          <w:bCs/>
          <w:sz w:val="24"/>
          <w:szCs w:val="24"/>
          <w:lang w:eastAsia="pt-BR"/>
        </w:rPr>
        <w:t>reconheço a prescrição intercorrente</w:t>
      </w:r>
      <w:r w:rsidRPr="00316951">
        <w:rPr>
          <w:rFonts w:ascii="Arial" w:eastAsia="Times New Roman" w:hAnsi="Arial" w:cs="Arial"/>
          <w:sz w:val="24"/>
          <w:szCs w:val="24"/>
          <w:lang w:eastAsia="pt-BR"/>
        </w:rPr>
        <w:t xml:space="preserve"> da pretensão executiva e, com fundamento no art. 487, II, c/</w:t>
      </w:r>
      <w:proofErr w:type="gramStart"/>
      <w:r w:rsidRPr="00316951">
        <w:rPr>
          <w:rFonts w:ascii="Arial" w:eastAsia="Times New Roman" w:hAnsi="Arial" w:cs="Arial"/>
          <w:sz w:val="24"/>
          <w:szCs w:val="24"/>
          <w:lang w:eastAsia="pt-BR"/>
        </w:rPr>
        <w:t>c</w:t>
      </w:r>
      <w:proofErr w:type="gramEnd"/>
      <w:r w:rsidRPr="00316951">
        <w:rPr>
          <w:rFonts w:ascii="Arial" w:eastAsia="Times New Roman" w:hAnsi="Arial" w:cs="Arial"/>
          <w:sz w:val="24"/>
          <w:szCs w:val="24"/>
          <w:lang w:eastAsia="pt-BR"/>
        </w:rPr>
        <w:t xml:space="preserve"> art. 921, § 4º, do Código de Processo Civil, </w:t>
      </w:r>
      <w:r w:rsidRPr="00316951">
        <w:rPr>
          <w:rFonts w:ascii="Arial" w:eastAsia="Times New Roman" w:hAnsi="Arial" w:cs="Arial"/>
          <w:b/>
          <w:bCs/>
          <w:sz w:val="24"/>
          <w:szCs w:val="24"/>
          <w:lang w:eastAsia="pt-BR"/>
        </w:rPr>
        <w:t>julgo extinto o processo com resolução de mérito</w:t>
      </w:r>
      <w:r w:rsidRPr="00316951">
        <w:rPr>
          <w:rFonts w:ascii="Arial" w:eastAsia="Times New Roman" w:hAnsi="Arial" w:cs="Arial"/>
          <w:sz w:val="24"/>
          <w:szCs w:val="24"/>
          <w:lang w:eastAsia="pt-BR"/>
        </w:rPr>
        <w:t>.</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Ainda que assim não fosse, a </w:t>
      </w:r>
      <w:r w:rsidRPr="00316951">
        <w:rPr>
          <w:rFonts w:ascii="Arial" w:eastAsia="Times New Roman" w:hAnsi="Arial" w:cs="Arial"/>
          <w:b/>
          <w:bCs/>
          <w:sz w:val="24"/>
          <w:szCs w:val="24"/>
          <w:lang w:eastAsia="pt-BR"/>
        </w:rPr>
        <w:t>inércia do exequente</w:t>
      </w:r>
      <w:r w:rsidRPr="00316951">
        <w:rPr>
          <w:rFonts w:ascii="Arial" w:eastAsia="Times New Roman" w:hAnsi="Arial" w:cs="Arial"/>
          <w:sz w:val="24"/>
          <w:szCs w:val="24"/>
          <w:lang w:eastAsia="pt-BR"/>
        </w:rPr>
        <w:t xml:space="preserve"> e o descumprimento da determinação judicial contida no despacho de 29 de agosto de 2025 imporiam a </w:t>
      </w:r>
      <w:r w:rsidRPr="00316951">
        <w:rPr>
          <w:rFonts w:ascii="Arial" w:eastAsia="Times New Roman" w:hAnsi="Arial" w:cs="Arial"/>
          <w:b/>
          <w:bCs/>
          <w:sz w:val="24"/>
          <w:szCs w:val="24"/>
          <w:lang w:eastAsia="pt-BR"/>
        </w:rPr>
        <w:t>extinção do processo sem resolução de mérito</w:t>
      </w:r>
      <w:r w:rsidRPr="00316951">
        <w:rPr>
          <w:rFonts w:ascii="Arial" w:eastAsia="Times New Roman" w:hAnsi="Arial" w:cs="Arial"/>
          <w:sz w:val="24"/>
          <w:szCs w:val="24"/>
          <w:lang w:eastAsia="pt-BR"/>
        </w:rPr>
        <w:t>, com fundamento no art. 485, III, do Código de Processo Civil.</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Condeno o exequente ao pagamento das </w:t>
      </w:r>
      <w:r w:rsidRPr="00316951">
        <w:rPr>
          <w:rFonts w:ascii="Arial" w:eastAsia="Times New Roman" w:hAnsi="Arial" w:cs="Arial"/>
          <w:b/>
          <w:bCs/>
          <w:sz w:val="24"/>
          <w:szCs w:val="24"/>
          <w:lang w:eastAsia="pt-BR"/>
        </w:rPr>
        <w:t>custas processuais remanescentes</w:t>
      </w:r>
      <w:r w:rsidRPr="00316951">
        <w:rPr>
          <w:rFonts w:ascii="Arial" w:eastAsia="Times New Roman" w:hAnsi="Arial" w:cs="Arial"/>
          <w:sz w:val="24"/>
          <w:szCs w:val="24"/>
          <w:lang w:eastAsia="pt-BR"/>
        </w:rPr>
        <w:t>, se houver.</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Determino a </w:t>
      </w:r>
      <w:r w:rsidRPr="00316951">
        <w:rPr>
          <w:rFonts w:ascii="Arial" w:eastAsia="Times New Roman" w:hAnsi="Arial" w:cs="Arial"/>
          <w:b/>
          <w:bCs/>
          <w:sz w:val="24"/>
          <w:szCs w:val="24"/>
          <w:lang w:eastAsia="pt-BR"/>
        </w:rPr>
        <w:t>baixa definitiva</w:t>
      </w:r>
      <w:r w:rsidRPr="00316951">
        <w:rPr>
          <w:rFonts w:ascii="Arial" w:eastAsia="Times New Roman" w:hAnsi="Arial" w:cs="Arial"/>
          <w:sz w:val="24"/>
          <w:szCs w:val="24"/>
          <w:lang w:eastAsia="pt-BR"/>
        </w:rPr>
        <w:t xml:space="preserve"> do processo nos registros eletrônicos e o </w:t>
      </w:r>
      <w:r w:rsidRPr="00316951">
        <w:rPr>
          <w:rFonts w:ascii="Arial" w:eastAsia="Times New Roman" w:hAnsi="Arial" w:cs="Arial"/>
          <w:b/>
          <w:bCs/>
          <w:sz w:val="24"/>
          <w:szCs w:val="24"/>
          <w:lang w:eastAsia="pt-BR"/>
        </w:rPr>
        <w:t>arquivamento dos autos</w:t>
      </w:r>
      <w:r w:rsidRPr="00316951">
        <w:rPr>
          <w:rFonts w:ascii="Arial" w:eastAsia="Times New Roman" w:hAnsi="Arial" w:cs="Arial"/>
          <w:sz w:val="24"/>
          <w:szCs w:val="24"/>
          <w:lang w:eastAsia="pt-BR"/>
        </w:rPr>
        <w:t xml:space="preserve"> com as cautelas de praxe.</w:t>
      </w:r>
    </w:p>
    <w:p w:rsidR="00316951" w:rsidRPr="00316951" w:rsidRDefault="00316951" w:rsidP="004E07AD">
      <w:pPr>
        <w:spacing w:after="0" w:line="360" w:lineRule="auto"/>
        <w:ind w:firstLine="1134"/>
        <w:jc w:val="both"/>
        <w:rPr>
          <w:rFonts w:ascii="Arial" w:eastAsia="Times New Roman" w:hAnsi="Arial" w:cs="Arial"/>
          <w:sz w:val="24"/>
          <w:szCs w:val="24"/>
          <w:lang w:eastAsia="pt-BR"/>
        </w:rPr>
      </w:pPr>
      <w:r w:rsidRPr="00316951">
        <w:rPr>
          <w:rFonts w:ascii="Arial" w:eastAsia="Times New Roman" w:hAnsi="Arial" w:cs="Arial"/>
          <w:sz w:val="24"/>
          <w:szCs w:val="24"/>
          <w:lang w:eastAsia="pt-BR"/>
        </w:rPr>
        <w:t xml:space="preserve">Publique-se. Registre-se. Intimem-se as partes, inclusive o exequente na pessoa de seu atual advogado habilitado, </w:t>
      </w:r>
      <w:r w:rsidRPr="00316951">
        <w:rPr>
          <w:rFonts w:ascii="Arial" w:eastAsia="Times New Roman" w:hAnsi="Arial" w:cs="Arial"/>
          <w:b/>
          <w:bCs/>
          <w:sz w:val="24"/>
          <w:szCs w:val="24"/>
          <w:lang w:eastAsia="pt-BR"/>
        </w:rPr>
        <w:t>MÁRCIO PEREZ DE REZENDE</w:t>
      </w:r>
      <w:r w:rsidRPr="00316951">
        <w:rPr>
          <w:rFonts w:ascii="Arial" w:eastAsia="Times New Roman" w:hAnsi="Arial" w:cs="Arial"/>
          <w:sz w:val="24"/>
          <w:szCs w:val="24"/>
          <w:lang w:eastAsia="pt-BR"/>
        </w:rPr>
        <w:t>, OAB/PA 27133-A.</w:t>
      </w:r>
    </w:p>
    <w:p w:rsidR="00F2350D" w:rsidRPr="00316951" w:rsidRDefault="00F2350D" w:rsidP="004E07AD">
      <w:pPr>
        <w:spacing w:after="0" w:line="360" w:lineRule="auto"/>
        <w:jc w:val="both"/>
        <w:rPr>
          <w:rFonts w:ascii="Arial" w:hAnsi="Arial" w:cs="Arial"/>
          <w:sz w:val="24"/>
          <w:szCs w:val="24"/>
        </w:rPr>
      </w:pPr>
    </w:p>
    <w:sectPr w:rsidR="00F2350D" w:rsidRPr="003169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951"/>
    <w:rsid w:val="00316951"/>
    <w:rsid w:val="004E07AD"/>
    <w:rsid w:val="00523F95"/>
    <w:rsid w:val="00F235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36FAF"/>
  <w15:chartTrackingRefBased/>
  <w15:docId w15:val="{3D245303-F87B-4DD8-8319-D89F6DC03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3169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16951"/>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31695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169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358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2355</Words>
  <Characters>12721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2026-06-29T10:38:00Z</dcterms:created>
  <dcterms:modified xsi:type="dcterms:W3CDTF">2026-06-29T11:00:00Z</dcterms:modified>
</cp:coreProperties>
</file>