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AA0" w:rsidRPr="00C11AA0" w:rsidRDefault="00C11AA0" w:rsidP="00C11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rocesso nº 0826854-93.2026.8.14.0301</w:t>
      </w:r>
    </w:p>
    <w:p w:rsidR="00C11AA0" w:rsidRPr="00C11AA0" w:rsidRDefault="00C11AA0" w:rsidP="00C11AA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C11AA0" w:rsidRPr="00C11AA0" w:rsidRDefault="00C11AA0" w:rsidP="00C11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C11AA0" w:rsidRPr="00C11AA0" w:rsidRDefault="00C11AA0" w:rsidP="00C11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cobrança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BELNAVE RODOFLUVIAL E LOGISTICA LTDA.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VECTRA AUTO PECAS </w:t>
      </w:r>
      <w:proofErr w:type="gramStart"/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LTDA.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ambos qualificados nos autos.</w:t>
      </w:r>
    </w:p>
    <w:p w:rsidR="00C11AA0" w:rsidRPr="00C11AA0" w:rsidRDefault="00C11AA0" w:rsidP="00C11AA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A autora narra, em síntese, que em 17/12/2024 formalizou junto à ré o Pedido de Compra nº 36933, no valor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R$ 1.972,01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, referente à aquisição de peças automotivas (ID 170436573, p. 2). O pagamento foi integralmente efetuado em 20/12/2024, via PIX, conforme comprovante anexo (ID 170436579). Alega que a ré, ao invés de entregar as peças corretas, enviou todas as peças erradas, motivo pelo qual a autora recusou o recebimento da mercadoria. A ré teria informado que não possuía as peças adequadas para fornecer.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em nova aquisição de peças no valor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R$ 542,84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, as partes ajustaram a compensação parcial desse débito com o valor devido pela ré, restando um saldo credor em favor da autora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R$ 1.429,17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. A ré teria se recusado a efetuar o reembolso, afirmando que "Não faremos o reembolso devido ser antigo e vocês podem ficar com o crédito" (ID 170436573, p. 2). A autora notificou extrajudicialmente a ré em 11/08/2025, sem sucesso.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A ação foi distribuída à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12ª Vara do Juizado Especial Cível de Belém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, que, em 22/06/2026, proferiu decisão determinando a redistribuição conforme o endereçamento (ID 180587231 e ID 180604984).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Em 23/06/2026, antes de qualquer citação da parte ré, a autora protocolou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petição de desistência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da ação, informando que não possui mais interesse no prosseguimento da demanda, com fundamento no art. 485, VIII, do CPC, e requerendo a extinção do processo sem resolução do mérito (ID 180841688).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>É o relato do essencial. Passo a decidir.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 desistência da ação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A autora protocolou, em 23/06/2026, petição de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desistência expressa da ação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, nos seguintes termos: "informar que não possui mais interesse no prosseguimento da ação, razão pela qual manifesta sua expressa DESISTÊNCIA da presente demanda" (ID 180841688).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O art. 485, VIII, do Código de Processo Civil autoriza a extinção do processo sem resolução do mérito quando o autor desistir da ação. O § 4º do mesmo artigo dispõe que,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tendo sido oferecida contestação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, a desistência independe de anuência do réu.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 caso concreto, os documentos dos autos demonstram que a parte ré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ainda não foi citada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para contestar a ação. A autora, em sua petição de desistência, afirma expressamente essa circunstância, corroborada pela análise dos autos, que não registram qualquer citação realizada.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>Portanto, a desistência é válida e independe do consentimento da parte adversa, autorizando a extinção do processo nos termos do art. 485, VIII, do CPC.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 O PROCESSO SEM RESOLUÇÃO DO MÉRITO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>, com fundamento no art. 485, VIII, do Código de Processo Civil, em razão da desistência da ação manifestada pela autora.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Condeno a parte autora</w:t>
      </w:r>
      <w:r w:rsidRPr="00C11AA0">
        <w:rPr>
          <w:rFonts w:ascii="Arial" w:eastAsia="Times New Roman" w:hAnsi="Arial" w:cs="Arial"/>
          <w:sz w:val="24"/>
          <w:szCs w:val="24"/>
          <w:lang w:eastAsia="pt-BR"/>
        </w:rPr>
        <w:t xml:space="preserve"> ao pagamento das custas processuais, se houver, ficando sua exigibilidade suspensa nos termos do art. 98, § 3º, do CPC, por ser beneficiária da justiça gratuita.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condenação em honorários advocatícios</w:t>
      </w:r>
      <w:r w:rsidR="00C60E3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>Após o trânsito em julgado, arquivem-se os autos com as baixas necessárias.</w:t>
      </w:r>
    </w:p>
    <w:p w:rsidR="00C11AA0" w:rsidRPr="00C11AA0" w:rsidRDefault="00C11AA0" w:rsidP="00C60E39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11AA0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bookmarkEnd w:id="0"/>
    <w:p w:rsidR="00F2350D" w:rsidRPr="00C11AA0" w:rsidRDefault="00F2350D" w:rsidP="00C11AA0">
      <w:pPr>
        <w:jc w:val="both"/>
        <w:rPr>
          <w:rFonts w:ascii="Arial" w:hAnsi="Arial" w:cs="Arial"/>
        </w:rPr>
      </w:pPr>
    </w:p>
    <w:sectPr w:rsidR="00F2350D" w:rsidRPr="00C11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A0"/>
    <w:rsid w:val="00C11AA0"/>
    <w:rsid w:val="00C60E39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4396A"/>
  <w15:chartTrackingRefBased/>
  <w15:docId w15:val="{561263B9-195A-44FC-B7A3-1CF10538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11A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A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11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1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501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2026-06-30T20:32:00Z</dcterms:created>
  <dcterms:modified xsi:type="dcterms:W3CDTF">2026-06-30T20:54:00Z</dcterms:modified>
</cp:coreProperties>
</file>