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05E7" w:rsidRDefault="004705E7" w:rsidP="004705E7">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Processo nº 0877562-21.2024.8.14.0301</w:t>
      </w:r>
    </w:p>
    <w:p w:rsidR="004705E7" w:rsidRPr="004705E7" w:rsidRDefault="004705E7" w:rsidP="004705E7">
      <w:pPr>
        <w:spacing w:after="5" w:line="276" w:lineRule="auto"/>
        <w:jc w:val="both"/>
        <w:rPr>
          <w:rFonts w:ascii="Arial" w:eastAsia="Times New Roman" w:hAnsi="Arial" w:cs="Arial"/>
          <w:sz w:val="24"/>
          <w:szCs w:val="24"/>
          <w:lang w:eastAsia="pt-BR"/>
        </w:rPr>
      </w:pPr>
      <w:bookmarkStart w:id="0" w:name="_GoBack"/>
      <w:r w:rsidRPr="004705E7">
        <w:rPr>
          <w:rFonts w:ascii="Arial" w:eastAsia="Times New Roman" w:hAnsi="Arial" w:cs="Arial"/>
          <w:b/>
          <w:sz w:val="24"/>
          <w:szCs w:val="24"/>
          <w:lang w:eastAsia="pt-BR"/>
        </w:rPr>
        <w:t>SENTENÇA</w:t>
      </w:r>
    </w:p>
    <w:p w:rsidR="004705E7" w:rsidRPr="004705E7" w:rsidRDefault="004705E7" w:rsidP="004705E7">
      <w:pPr>
        <w:spacing w:after="5" w:line="276" w:lineRule="auto"/>
        <w:jc w:val="both"/>
        <w:outlineLvl w:val="0"/>
        <w:rPr>
          <w:rFonts w:ascii="Arial" w:eastAsia="Times New Roman" w:hAnsi="Arial" w:cs="Arial"/>
          <w:b/>
          <w:bCs/>
          <w:kern w:val="36"/>
          <w:sz w:val="24"/>
          <w:szCs w:val="24"/>
          <w:lang w:eastAsia="pt-BR"/>
        </w:rPr>
      </w:pPr>
      <w:r w:rsidRPr="004705E7">
        <w:rPr>
          <w:rFonts w:ascii="Arial" w:eastAsia="Times New Roman" w:hAnsi="Arial" w:cs="Arial"/>
          <w:b/>
          <w:bCs/>
          <w:kern w:val="36"/>
          <w:sz w:val="24"/>
          <w:szCs w:val="24"/>
          <w:lang w:eastAsia="pt-BR"/>
        </w:rPr>
        <w:t>1. RELATÓRIO</w:t>
      </w:r>
    </w:p>
    <w:p w:rsidR="004705E7" w:rsidRPr="004705E7" w:rsidRDefault="004705E7" w:rsidP="004705E7">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 xml:space="preserve">Trata-se de incidente de remoção de inventariante autuado em apenso aos autos de inventário de Catarina Maria Bentes, proposto por Carlos Ramon Bentes Viegas em face de </w:t>
      </w:r>
      <w:proofErr w:type="spellStart"/>
      <w:r w:rsidRPr="004705E7">
        <w:rPr>
          <w:rFonts w:ascii="Arial" w:eastAsia="Times New Roman" w:hAnsi="Arial" w:cs="Arial"/>
          <w:sz w:val="24"/>
          <w:szCs w:val="24"/>
          <w:lang w:eastAsia="pt-BR"/>
        </w:rPr>
        <w:t>Narda</w:t>
      </w:r>
      <w:proofErr w:type="spellEnd"/>
      <w:r w:rsidRPr="004705E7">
        <w:rPr>
          <w:rFonts w:ascii="Arial" w:eastAsia="Times New Roman" w:hAnsi="Arial" w:cs="Arial"/>
          <w:sz w:val="24"/>
          <w:szCs w:val="24"/>
          <w:lang w:eastAsia="pt-BR"/>
        </w:rPr>
        <w:t xml:space="preserve"> Cristina Bentes Viegas, atualmente no exercício do múnus da inventariança por nomeação realizada em 18 de março de 2024.</w:t>
      </w:r>
    </w:p>
    <w:p w:rsidR="004705E7" w:rsidRPr="004705E7" w:rsidRDefault="004705E7" w:rsidP="004705E7">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 xml:space="preserve">O requerente aduziu na petição inicial de ID 127604853 que a inventariante incorre em condutas incompatíveis com a função, sustentando que ela omitiu a existência de contas bancárias em nome da falecida junto às instituições Bradesco, </w:t>
      </w:r>
      <w:proofErr w:type="spellStart"/>
      <w:r w:rsidRPr="004705E7">
        <w:rPr>
          <w:rFonts w:ascii="Arial" w:eastAsia="Times New Roman" w:hAnsi="Arial" w:cs="Arial"/>
          <w:sz w:val="24"/>
          <w:szCs w:val="24"/>
          <w:lang w:eastAsia="pt-BR"/>
        </w:rPr>
        <w:t>Nubank</w:t>
      </w:r>
      <w:proofErr w:type="spellEnd"/>
      <w:r w:rsidRPr="004705E7">
        <w:rPr>
          <w:rFonts w:ascii="Arial" w:eastAsia="Times New Roman" w:hAnsi="Arial" w:cs="Arial"/>
          <w:sz w:val="24"/>
          <w:szCs w:val="24"/>
          <w:lang w:eastAsia="pt-BR"/>
        </w:rPr>
        <w:t xml:space="preserve"> e Caixa Econômica Federal. Argumentou, ademais, que a requerida ofertou à venda, sem autorização judicial, a casa localizada na Rua 15 de Novembro, nº 1080, Mosqueiro, anunciando-a em rede social pelo valor de R$ 200.000,00, conforme ata notarial de ID 127604878. Mencionou também que a inventariante promoveu a divisão unilateral do imóvel situado no Residencial </w:t>
      </w:r>
      <w:proofErr w:type="spellStart"/>
      <w:r w:rsidRPr="004705E7">
        <w:rPr>
          <w:rFonts w:ascii="Arial" w:eastAsia="Times New Roman" w:hAnsi="Arial" w:cs="Arial"/>
          <w:sz w:val="24"/>
          <w:szCs w:val="24"/>
          <w:lang w:eastAsia="pt-BR"/>
        </w:rPr>
        <w:t>Parklândia</w:t>
      </w:r>
      <w:proofErr w:type="spellEnd"/>
      <w:r w:rsidRPr="004705E7">
        <w:rPr>
          <w:rFonts w:ascii="Arial" w:eastAsia="Times New Roman" w:hAnsi="Arial" w:cs="Arial"/>
          <w:sz w:val="24"/>
          <w:szCs w:val="24"/>
          <w:lang w:eastAsia="pt-BR"/>
        </w:rPr>
        <w:t>, alterando a estrutura física do bem para destinação de uso próprio e locação de frações, conforme relatório de vistoria de ID 127607503. Juntou boletim de ocorrência policial de ID 127607518 e pleiteou a destituição da requerida com a sua consequente nomeação para o encargo de inventariante.</w:t>
      </w:r>
    </w:p>
    <w:p w:rsidR="004705E7" w:rsidRPr="004705E7" w:rsidRDefault="004705E7" w:rsidP="00A52867">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 xml:space="preserve">Devidamente intimada por força do despacho de ID 133093928, a requerida apresentou contestação no ID 135924350, refutando integralmente as alegações de desídia ou ocultação patrimonial. Esclareceu que a conta do banco </w:t>
      </w:r>
      <w:proofErr w:type="spellStart"/>
      <w:r w:rsidRPr="004705E7">
        <w:rPr>
          <w:rFonts w:ascii="Arial" w:eastAsia="Times New Roman" w:hAnsi="Arial" w:cs="Arial"/>
          <w:sz w:val="24"/>
          <w:szCs w:val="24"/>
          <w:lang w:eastAsia="pt-BR"/>
        </w:rPr>
        <w:t>Nubank</w:t>
      </w:r>
      <w:proofErr w:type="spellEnd"/>
      <w:r w:rsidRPr="004705E7">
        <w:rPr>
          <w:rFonts w:ascii="Arial" w:eastAsia="Times New Roman" w:hAnsi="Arial" w:cs="Arial"/>
          <w:sz w:val="24"/>
          <w:szCs w:val="24"/>
          <w:lang w:eastAsia="pt-BR"/>
        </w:rPr>
        <w:t xml:space="preserve"> foi encerrada em 08 de fevereiro de 2024 sem saldo remanescente, visto que o valor de R$ 4.000,00 que nela existia foi utilizado de forma exclusiva para o custeio dos serviços de cremação da genitora, juntando a respectiva nota fiscal de ID 135924384. Quanto à conta da Caixa Econômica Federal, informou que o saldo foi zerado ainda em vida pela de cujus para adimplemento de despesas pessoais, sendo encerrada em 16 de janeiro de 2025, conforme termo de ID 135924364. No tocante ao saldo do Banco Bradesco, declarou a existência de R$ 4.727,54, valor que se encontra intocado e à disposição do juízo. Sobre o anúncio da casa de Mosqueiro, demonstrou que o próprio requerente concordou expressamente com a alienação do imóvel, o que se extrai das tratativas documentadas em e-mails no ID 135924350. Por fim, asseverou que a divisão estrutural do imóvel do Residencial </w:t>
      </w:r>
      <w:proofErr w:type="spellStart"/>
      <w:r w:rsidRPr="004705E7">
        <w:rPr>
          <w:rFonts w:ascii="Arial" w:eastAsia="Times New Roman" w:hAnsi="Arial" w:cs="Arial"/>
          <w:sz w:val="24"/>
          <w:szCs w:val="24"/>
          <w:lang w:eastAsia="pt-BR"/>
        </w:rPr>
        <w:t>Parklândia</w:t>
      </w:r>
      <w:proofErr w:type="spellEnd"/>
      <w:r w:rsidRPr="004705E7">
        <w:rPr>
          <w:rFonts w:ascii="Arial" w:eastAsia="Times New Roman" w:hAnsi="Arial" w:cs="Arial"/>
          <w:sz w:val="24"/>
          <w:szCs w:val="24"/>
          <w:lang w:eastAsia="pt-BR"/>
        </w:rPr>
        <w:t xml:space="preserve"> foi integralmente planejada e anuída pelo requerente, que é arquiteto urbanista e elaborou o próprio croqui de desmembramento de ID 135925738. Postulou a improcedência do pedido e a condenação do requerente por litigância de má-fé.</w:t>
      </w:r>
    </w:p>
    <w:p w:rsidR="004705E7" w:rsidRPr="004705E7" w:rsidRDefault="004705E7" w:rsidP="00A52867">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 xml:space="preserve">O requerente apresentou réplica no ID 155017682, reiterando que as contas bancárias foram encerradas sem prestação de contas detalhada. Apontou a existência de débitos tributários de IPTU incidentes sobre os imóveis do espólio, em especial o de Mosqueiro, requerendo autorização para adimplir as obrigações tributárias do imóvel do </w:t>
      </w:r>
      <w:proofErr w:type="spellStart"/>
      <w:r w:rsidRPr="004705E7">
        <w:rPr>
          <w:rFonts w:ascii="Arial" w:eastAsia="Times New Roman" w:hAnsi="Arial" w:cs="Arial"/>
          <w:sz w:val="24"/>
          <w:szCs w:val="24"/>
          <w:lang w:eastAsia="pt-BR"/>
        </w:rPr>
        <w:t>Parklândia</w:t>
      </w:r>
      <w:proofErr w:type="spellEnd"/>
      <w:r w:rsidRPr="004705E7">
        <w:rPr>
          <w:rFonts w:ascii="Arial" w:eastAsia="Times New Roman" w:hAnsi="Arial" w:cs="Arial"/>
          <w:sz w:val="24"/>
          <w:szCs w:val="24"/>
          <w:lang w:eastAsia="pt-BR"/>
        </w:rPr>
        <w:t>.</w:t>
      </w:r>
    </w:p>
    <w:p w:rsidR="004705E7" w:rsidRPr="004705E7" w:rsidRDefault="004705E7" w:rsidP="00A52867">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Vieram os autos conclusos para julgamento, conforme certidão de ID 161244138.</w:t>
      </w:r>
    </w:p>
    <w:p w:rsidR="004705E7" w:rsidRPr="004705E7" w:rsidRDefault="004705E7" w:rsidP="004705E7">
      <w:pPr>
        <w:spacing w:after="5" w:line="276" w:lineRule="auto"/>
        <w:jc w:val="both"/>
        <w:outlineLvl w:val="0"/>
        <w:rPr>
          <w:rFonts w:ascii="Arial" w:eastAsia="Times New Roman" w:hAnsi="Arial" w:cs="Arial"/>
          <w:b/>
          <w:bCs/>
          <w:kern w:val="36"/>
          <w:sz w:val="24"/>
          <w:szCs w:val="24"/>
          <w:lang w:eastAsia="pt-BR"/>
        </w:rPr>
      </w:pPr>
      <w:r w:rsidRPr="004705E7">
        <w:rPr>
          <w:rFonts w:ascii="Arial" w:eastAsia="Times New Roman" w:hAnsi="Arial" w:cs="Arial"/>
          <w:b/>
          <w:bCs/>
          <w:kern w:val="36"/>
          <w:sz w:val="24"/>
          <w:szCs w:val="24"/>
          <w:lang w:eastAsia="pt-BR"/>
        </w:rPr>
        <w:lastRenderedPageBreak/>
        <w:t>2. FUNDAMENTAÇÃO</w:t>
      </w:r>
    </w:p>
    <w:p w:rsidR="004705E7" w:rsidRPr="004705E7" w:rsidRDefault="004705E7" w:rsidP="00A52867">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O incidente de remoção de inventariante encontra-se maduro para julgamento, uma vez que as partes apresentaram ampla prova documental apta ao esclarecimento dos pontos de fato controvertidos, sendo desnecessária a produção de novas provas em audiência.</w:t>
      </w:r>
    </w:p>
    <w:p w:rsidR="004705E7" w:rsidRPr="004705E7" w:rsidRDefault="004705E7" w:rsidP="00A52867">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De início, cumpre assinalar que a remoção do inventariante constitui medida de caráter excepcional, a ser decretada somente quando restar cabalmente demonstrada a prática de falta grave, desídia, má-fé ou conduta ímproba na administração dos bens do espólio, nos termos do rol estabelecido pelo artigo 622 do Código de Processo Civil. A destituição do encargo exige prova segura da infração aos deveres legais de zelo, transparência e celeridade processual.</w:t>
      </w:r>
    </w:p>
    <w:p w:rsidR="004705E7" w:rsidRPr="004705E7" w:rsidRDefault="004705E7" w:rsidP="00E42C72">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 xml:space="preserve">No caso em análise, o requerente sustenta a existência de sonegação ou ocultação dolosa de saldos bancários pertencentes ao espólio. Entretanto, a instrução documental promovida pela inventariante na peça de defesa infirmou de plano tal tese. Com efeito, a requerida apresentou o termo de encerramento da conta mantida perante a Caixa Econômica Federal de ID 135924364, bem como o extrato de ID 135924368, os quais evidenciam que os valores lá depositados foram integralmente movimentados em 13 de outubro de 2023, data anterior ao passamento da titular da herança, inexistindo saldo a ser inventariado. No que concerne à conta do banco </w:t>
      </w:r>
      <w:proofErr w:type="spellStart"/>
      <w:r w:rsidRPr="004705E7">
        <w:rPr>
          <w:rFonts w:ascii="Arial" w:eastAsia="Times New Roman" w:hAnsi="Arial" w:cs="Arial"/>
          <w:sz w:val="24"/>
          <w:szCs w:val="24"/>
          <w:lang w:eastAsia="pt-BR"/>
        </w:rPr>
        <w:t>Nubank</w:t>
      </w:r>
      <w:proofErr w:type="spellEnd"/>
      <w:r w:rsidRPr="004705E7">
        <w:rPr>
          <w:rFonts w:ascii="Arial" w:eastAsia="Times New Roman" w:hAnsi="Arial" w:cs="Arial"/>
          <w:sz w:val="24"/>
          <w:szCs w:val="24"/>
          <w:lang w:eastAsia="pt-BR"/>
        </w:rPr>
        <w:t>, restou demonstrado pelo documento de ID 135924357 e pelo extrato emitido pela instituição financeira no ID 135924385 que a conta foi encerrada sem saldo devedor ou credor, sendo que o montante nela mantido foi destinado ao pagamento das despesas de funeral e cremação da de cujus, fato devidamente comprovado pela nota fiscal eletrônica emitida em favor da requerida sob o ID 135924384. Quanto ao saldo verificado junto ao Banco Bradesco, a própria inventariante indicou de forma espontânea na contestação de ID 135924350 o valor de R$ 4.727,54, confirmando que a quantia se encontra bloqueada e intocada no aguardo de partilha judicial, o que afasta de forma peremptória qualquer intenção de ocultar patrimônio do espólio.</w:t>
      </w:r>
    </w:p>
    <w:p w:rsidR="004705E7" w:rsidRPr="004705E7" w:rsidRDefault="004705E7" w:rsidP="00E42C72">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Em relação à suposta alienação irregular da casa localizada no distrito de Mosqueiro, a prova constante dos autos demonstra que o anúncio em rede social datado de 12 de dezembro de 2023, certificado pela ata notarial de ID 127604878, ocorreu no contexto de tratativas de acordo amigável mantidas entre os dois únicos herdeiros. O documento de ID 135924350 evidencia que o requerente manifestou consentimento com a venda do bem de veraneio para futura partilha dos frutos. Diante do malogro das negociações extrajudiciais, a inventariante promoveu a imediata retirada do anúncio do mercado, zelando pela conservação do imóvel. Não se vislumbra, portanto, conduta arbitrária ou dilapidação patrimonial, mas sim mera execução de ato preparatório de venda que contava com a ciência e anuência do herdeiro requerente.</w:t>
      </w:r>
    </w:p>
    <w:p w:rsidR="004705E7" w:rsidRPr="004705E7" w:rsidRDefault="004705E7" w:rsidP="00E42C72">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 xml:space="preserve">No que tange à divisão física do imóvel situado no Residencial </w:t>
      </w:r>
      <w:proofErr w:type="spellStart"/>
      <w:r w:rsidRPr="004705E7">
        <w:rPr>
          <w:rFonts w:ascii="Arial" w:eastAsia="Times New Roman" w:hAnsi="Arial" w:cs="Arial"/>
          <w:sz w:val="24"/>
          <w:szCs w:val="24"/>
          <w:lang w:eastAsia="pt-BR"/>
        </w:rPr>
        <w:t>Parklândia</w:t>
      </w:r>
      <w:proofErr w:type="spellEnd"/>
      <w:r w:rsidRPr="004705E7">
        <w:rPr>
          <w:rFonts w:ascii="Arial" w:eastAsia="Times New Roman" w:hAnsi="Arial" w:cs="Arial"/>
          <w:sz w:val="24"/>
          <w:szCs w:val="24"/>
          <w:lang w:eastAsia="pt-BR"/>
        </w:rPr>
        <w:t xml:space="preserve">, as alegações de modificação estrutural não autorizada soam contraditórias diante da prova documental. As conversas mantidas por correio eletrônico e aplicativos </w:t>
      </w:r>
      <w:r w:rsidRPr="004705E7">
        <w:rPr>
          <w:rFonts w:ascii="Arial" w:eastAsia="Times New Roman" w:hAnsi="Arial" w:cs="Arial"/>
          <w:sz w:val="24"/>
          <w:szCs w:val="24"/>
          <w:lang w:eastAsia="pt-BR"/>
        </w:rPr>
        <w:lastRenderedPageBreak/>
        <w:t>de mensagens de ID 135924355, associadas ao projeto de arquitetura de ID 135925738, revelam de maneira inequívoca que o desmembramento do imóvel em unidades autônomas para locação foi planejado e consentido por ambos os herdeiros. Destaca-se que o requerente, profissional da arquitetura, participou ativamente do planejamento técnico das reformas e subscreveu os croquis de divisão estrutural. Constata-se que ambos os herdeiros passaram a usufruir de suas respectivas frações físicas e a auferir frutos civis por meio de locação a terceiros. Dessa forma, carece de boa-fé a alegação do requerente de que a inventariante realizou obras unilaterais ou prejudicou a integridade do imóvel, restando caracterizada a anuência mútua quanto ao fracionamento fático do bem.</w:t>
      </w:r>
    </w:p>
    <w:p w:rsidR="004705E7" w:rsidRPr="004705E7" w:rsidRDefault="004705E7" w:rsidP="00E42C72">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Por conseguinte, as condutas imputadas à inventariante não se enquadram em nenhuma das hipóteses de remoção previstas no artigo 622 do Código de Processo Civil. A atuação da requerida tem se mostrado condizente com a preservação do acervo hereditário, inexistindo atos de desonestidade, desídia grave ou dilapidação culposa de bens. A animosidade pessoal existente entre os herdeiros, por si só, não constitui fundamento jurídico idôneo para a destituição do cargo de inventariante, sobretudo quando o múnus é desempenhado de forma regular nos autos principais.</w:t>
      </w:r>
    </w:p>
    <w:p w:rsidR="004705E7" w:rsidRPr="004705E7" w:rsidRDefault="004705E7" w:rsidP="00E42C72">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 xml:space="preserve">Noutro giro, quanto à existência de débitos fiscais de IPTU incidentes sobre o imóvel de Mosqueiro, apontados pelo requerente em réplica no ID 155017682, cabe pontuar que é dever legal do inventariante administrar o espólio e quitar as suas dívidas, nos termos do artigo 618, inciso II, do Código de Processo Civil. A pendência de débitos tributários municipais acumulados desde o ano de 2022 impõe à inventariante a obrigação de adotar medidas administrativas imediatas para a regularização fiscal, utilizando os recursos disponíveis nas contas bancárias do espólio ou os frutos decorrentes dos aluguéis do imóvel do Residencial </w:t>
      </w:r>
      <w:proofErr w:type="spellStart"/>
      <w:r w:rsidRPr="004705E7">
        <w:rPr>
          <w:rFonts w:ascii="Arial" w:eastAsia="Times New Roman" w:hAnsi="Arial" w:cs="Arial"/>
          <w:sz w:val="24"/>
          <w:szCs w:val="24"/>
          <w:lang w:eastAsia="pt-BR"/>
        </w:rPr>
        <w:t>Parklândia</w:t>
      </w:r>
      <w:proofErr w:type="spellEnd"/>
      <w:r w:rsidRPr="004705E7">
        <w:rPr>
          <w:rFonts w:ascii="Arial" w:eastAsia="Times New Roman" w:hAnsi="Arial" w:cs="Arial"/>
          <w:sz w:val="24"/>
          <w:szCs w:val="24"/>
          <w:lang w:eastAsia="pt-BR"/>
        </w:rPr>
        <w:t>. A quitação dos tributos é medida necessária para evitar o perecimento de direitos e o agravamento dos encargos moratórios, devendo a inventariante comprovar a regularização ou o parcelamento do IPTU de todos os imóveis nos autos principais do inventário.</w:t>
      </w:r>
    </w:p>
    <w:p w:rsidR="004705E7" w:rsidRPr="004705E7" w:rsidRDefault="004705E7" w:rsidP="00E42C72">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Por fim, afasta-se o pleito de condenação do requerente por litigância de má-fé deduzido na contestação de ID 135924350. Embora as teses da petição inicial tenham sido desacolhidas frente às provas trazidas pela defesa, o exercício do direito de petição e a busca pela remoção do inventariante em razão de desentendimentos na gestão dos bens não configuram, de forma isolada, dolo processual ou intuito deliberado de tumultuar o feito, inserindo-se no âmbito da regular defesa de interesses em juízo.</w:t>
      </w:r>
    </w:p>
    <w:p w:rsidR="004705E7" w:rsidRPr="004705E7" w:rsidRDefault="004705E7" w:rsidP="004705E7">
      <w:pPr>
        <w:spacing w:after="5" w:line="276" w:lineRule="auto"/>
        <w:jc w:val="both"/>
        <w:outlineLvl w:val="0"/>
        <w:rPr>
          <w:rFonts w:ascii="Arial" w:eastAsia="Times New Roman" w:hAnsi="Arial" w:cs="Arial"/>
          <w:b/>
          <w:bCs/>
          <w:kern w:val="36"/>
          <w:sz w:val="24"/>
          <w:szCs w:val="24"/>
          <w:lang w:eastAsia="pt-BR"/>
        </w:rPr>
      </w:pPr>
      <w:r w:rsidRPr="004705E7">
        <w:rPr>
          <w:rFonts w:ascii="Arial" w:eastAsia="Times New Roman" w:hAnsi="Arial" w:cs="Arial"/>
          <w:b/>
          <w:bCs/>
          <w:kern w:val="36"/>
          <w:sz w:val="24"/>
          <w:szCs w:val="24"/>
          <w:lang w:eastAsia="pt-BR"/>
        </w:rPr>
        <w:t>3. DISPOSITIVO</w:t>
      </w:r>
    </w:p>
    <w:p w:rsidR="004705E7" w:rsidRPr="004705E7" w:rsidRDefault="004705E7" w:rsidP="00E42C72">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 xml:space="preserve">Ante o exposto, </w:t>
      </w:r>
      <w:r w:rsidRPr="004705E7">
        <w:rPr>
          <w:rFonts w:ascii="Arial" w:eastAsia="Times New Roman" w:hAnsi="Arial" w:cs="Arial"/>
          <w:b/>
          <w:bCs/>
          <w:sz w:val="24"/>
          <w:szCs w:val="24"/>
          <w:lang w:eastAsia="pt-BR"/>
        </w:rPr>
        <w:t>JULGO IMPROCEDENTE</w:t>
      </w:r>
      <w:r w:rsidRPr="004705E7">
        <w:rPr>
          <w:rFonts w:ascii="Arial" w:eastAsia="Times New Roman" w:hAnsi="Arial" w:cs="Arial"/>
          <w:sz w:val="24"/>
          <w:szCs w:val="24"/>
          <w:lang w:eastAsia="pt-BR"/>
        </w:rPr>
        <w:t xml:space="preserve"> o pedido de remoção de inventariante formulado por Carlos Ramon Bentes Viegas em face de </w:t>
      </w:r>
      <w:proofErr w:type="spellStart"/>
      <w:r w:rsidRPr="004705E7">
        <w:rPr>
          <w:rFonts w:ascii="Arial" w:eastAsia="Times New Roman" w:hAnsi="Arial" w:cs="Arial"/>
          <w:sz w:val="24"/>
          <w:szCs w:val="24"/>
          <w:lang w:eastAsia="pt-BR"/>
        </w:rPr>
        <w:t>Narda</w:t>
      </w:r>
      <w:proofErr w:type="spellEnd"/>
      <w:r w:rsidRPr="004705E7">
        <w:rPr>
          <w:rFonts w:ascii="Arial" w:eastAsia="Times New Roman" w:hAnsi="Arial" w:cs="Arial"/>
          <w:sz w:val="24"/>
          <w:szCs w:val="24"/>
          <w:lang w:eastAsia="pt-BR"/>
        </w:rPr>
        <w:t xml:space="preserve"> Cristina Bentes Viegas, mantendo a requerida no cargo de inventariante nos autos do processo principal nº 0912769-18.2023.8.14.0301.</w:t>
      </w:r>
    </w:p>
    <w:p w:rsidR="004705E7" w:rsidRPr="004705E7" w:rsidRDefault="004705E7" w:rsidP="00E42C72">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lastRenderedPageBreak/>
        <w:t>Em razão dos deveres inerentes ao cargo de inventariante e para evitar prejuízos ao espólio, determino:</w:t>
      </w:r>
    </w:p>
    <w:p w:rsidR="004705E7" w:rsidRPr="004705E7" w:rsidRDefault="004705E7" w:rsidP="004705E7">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a) que a inventariante, no prazo de 30 (trinta) dias, proceda ao levantamento de todos os débitos de IPTU incidentes sobre os imóveis do espólio, em especial o situado em Mosqueiro (ID 155017682), promovendo o pagamento das pendências ou o respectivo parcelamento perante o fisco municipal, devendo comprovar tais providências nos autos principais do inventário;</w:t>
      </w:r>
    </w:p>
    <w:p w:rsidR="004705E7" w:rsidRPr="004705E7" w:rsidRDefault="004705E7" w:rsidP="004705E7">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 xml:space="preserve">b) que a inventariante promova a prestação de contas dos valores recebidos a título de aluguel da fração do imóvel do Residencial </w:t>
      </w:r>
      <w:proofErr w:type="spellStart"/>
      <w:r w:rsidRPr="004705E7">
        <w:rPr>
          <w:rFonts w:ascii="Arial" w:eastAsia="Times New Roman" w:hAnsi="Arial" w:cs="Arial"/>
          <w:sz w:val="24"/>
          <w:szCs w:val="24"/>
          <w:lang w:eastAsia="pt-BR"/>
        </w:rPr>
        <w:t>Parklândia</w:t>
      </w:r>
      <w:proofErr w:type="spellEnd"/>
      <w:r w:rsidRPr="004705E7">
        <w:rPr>
          <w:rFonts w:ascii="Arial" w:eastAsia="Times New Roman" w:hAnsi="Arial" w:cs="Arial"/>
          <w:sz w:val="24"/>
          <w:szCs w:val="24"/>
          <w:lang w:eastAsia="pt-BR"/>
        </w:rPr>
        <w:t xml:space="preserve"> que se encontra sob sua administração, nos autos principais ou em via própria, caso exigido pelo herdeiro;</w:t>
      </w:r>
    </w:p>
    <w:p w:rsidR="004705E7" w:rsidRPr="004705E7" w:rsidRDefault="004705E7" w:rsidP="004705E7">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c) que seja indeferido o pedido de condenação em litigância de má-fé formulado pela requerida, ante a não configuração das hipóteses do artigo 80 do Código de Processo Civil.</w:t>
      </w:r>
    </w:p>
    <w:p w:rsidR="004705E7" w:rsidRPr="004705E7" w:rsidRDefault="004705E7" w:rsidP="00E42C72">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Condeno o requerente ao pagamento das custas processuais deste incidente e dos honorários advocatícios sucumbenciais em favor dos patronos da requerida, os quais arbitro em 10% (dez por cento) sobre o valor atualizado da causa, com fundamento no artigo 85, § 2º, do Código de Processo Civil, restando suspensa a exigibilidade da cobrança por ser o requerente beneficiário da gratuidade da justiça, conforme deferido nos autos principais.</w:t>
      </w:r>
    </w:p>
    <w:p w:rsidR="004705E7" w:rsidRPr="004705E7" w:rsidRDefault="004705E7" w:rsidP="00E42C72">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Traslade-se cópia desta decisão para os autos principais do inventário nº 0912769-18.2023.8.14.0301.</w:t>
      </w:r>
    </w:p>
    <w:p w:rsidR="004705E7" w:rsidRPr="004705E7" w:rsidRDefault="004705E7" w:rsidP="00E42C72">
      <w:pPr>
        <w:spacing w:after="5" w:line="276" w:lineRule="auto"/>
        <w:jc w:val="both"/>
        <w:rPr>
          <w:rFonts w:ascii="Arial" w:eastAsia="Times New Roman" w:hAnsi="Arial" w:cs="Arial"/>
          <w:sz w:val="24"/>
          <w:szCs w:val="24"/>
          <w:lang w:eastAsia="pt-BR"/>
        </w:rPr>
      </w:pPr>
      <w:r w:rsidRPr="004705E7">
        <w:rPr>
          <w:rFonts w:ascii="Arial" w:eastAsia="Times New Roman" w:hAnsi="Arial" w:cs="Arial"/>
          <w:sz w:val="24"/>
          <w:szCs w:val="24"/>
          <w:lang w:eastAsia="pt-BR"/>
        </w:rPr>
        <w:t>Publique-se. Registre-se. Intimem-se.</w:t>
      </w:r>
    </w:p>
    <w:bookmarkEnd w:id="0"/>
    <w:p w:rsidR="007B5610" w:rsidRPr="004705E7" w:rsidRDefault="007B5610" w:rsidP="004705E7">
      <w:pPr>
        <w:spacing w:after="5" w:line="276" w:lineRule="auto"/>
        <w:jc w:val="both"/>
        <w:rPr>
          <w:rFonts w:ascii="Arial" w:hAnsi="Arial" w:cs="Arial"/>
        </w:rPr>
      </w:pPr>
    </w:p>
    <w:sectPr w:rsidR="007B5610" w:rsidRPr="004705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5E7"/>
    <w:rsid w:val="004705E7"/>
    <w:rsid w:val="007B5610"/>
    <w:rsid w:val="00A52867"/>
    <w:rsid w:val="00E42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0C3A5"/>
  <w15:chartTrackingRefBased/>
  <w15:docId w15:val="{3D7E90E3-09D8-43E5-A36B-B0539B51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4705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05E7"/>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4705E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705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49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1663</Words>
  <Characters>8981</Characters>
  <Application>Microsoft Office Word</Application>
  <DocSecurity>0</DocSecurity>
  <Lines>74</Lines>
  <Paragraphs>21</Paragraphs>
  <ScaleCrop>false</ScaleCrop>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2026-05-20T16:55:00Z</dcterms:created>
  <dcterms:modified xsi:type="dcterms:W3CDTF">2026-05-20T17:08:00Z</dcterms:modified>
</cp:coreProperties>
</file>