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A09" w:rsidRPr="00BB4A09" w:rsidRDefault="00BB4A09" w:rsidP="00BB4A09">
      <w:pPr>
        <w:spacing w:after="0" w:line="276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bCs/>
          <w:sz w:val="24"/>
          <w:szCs w:val="24"/>
          <w:lang w:eastAsia="pt-BR"/>
        </w:rPr>
        <w:t>Processo nº 0891890-19.2025.8.14.0301</w:t>
      </w:r>
    </w:p>
    <w:p w:rsidR="00BB4A09" w:rsidRPr="00BB4A09" w:rsidRDefault="00BB4A09" w:rsidP="00BB4A09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SENTENÇA</w:t>
      </w:r>
    </w:p>
    <w:p w:rsidR="00BB4A09" w:rsidRPr="00BB4A09" w:rsidRDefault="00BB4A09" w:rsidP="00BB4A09">
      <w:pPr>
        <w:spacing w:after="0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bookmarkStart w:id="0" w:name="_GoBack"/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RELATÓRIO</w:t>
      </w:r>
    </w:p>
    <w:p w:rsidR="00BB4A09" w:rsidRPr="00BB4A09" w:rsidRDefault="00BB4A09" w:rsidP="00BB4A09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CARLOS DOMINGOS RODRIGUES SILVA DA MOTA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qualificado nos autos, ajuizou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Revisional de Cláusulas de Contrato c/</w:t>
      </w:r>
      <w:proofErr w:type="gramStart"/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</w:t>
      </w:r>
      <w:proofErr w:type="gramEnd"/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Repetição de Indébito com Pedido de Tutela Antecipada de Urgência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VOTORANTIM S.A.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, também qualificado.</w:t>
      </w:r>
    </w:p>
    <w:p w:rsidR="00BB4A09" w:rsidRPr="00BB4A09" w:rsidRDefault="00BB4A09" w:rsidP="00BB4A09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O autor narrou que firmou com o requerido, em 01/06/2023, contrato de financiamento garantido por alienação fiduciária no valor de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R$ 57.804,56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a ser quitado em 36 parcelas mensais de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R$ 2.487,00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(ID 159239247, p. 3-5).</w:t>
      </w:r>
    </w:p>
    <w:p w:rsidR="00BB4A09" w:rsidRPr="00BB4A09" w:rsidRDefault="00BB4A09" w:rsidP="00BB4A09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Sustentou que o contrato foi firmado com abusividades, apontando: a) incidência de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capitalização composta de juros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(anatocismo) mediante utilização da Tabela </w:t>
      </w:r>
      <w:proofErr w:type="spellStart"/>
      <w:r w:rsidRPr="00BB4A09">
        <w:rPr>
          <w:rFonts w:ascii="Arial" w:eastAsia="Times New Roman" w:hAnsi="Arial" w:cs="Arial"/>
          <w:sz w:val="24"/>
          <w:szCs w:val="24"/>
          <w:lang w:eastAsia="pt-BR"/>
        </w:rPr>
        <w:t>Price</w:t>
      </w:r>
      <w:proofErr w:type="spellEnd"/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quando deveria ser aplicado o método de juros simples (Sistema Gauss); b)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cobrança indevida de seguro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(R$ 358,86) configurando venda casada; c) cobrança indevida de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tarifa de registro de contrato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(R$ 368,33) e </w:t>
      </w:r>
      <w:proofErr w:type="gramStart"/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tarifa</w:t>
      </w:r>
      <w:proofErr w:type="gramEnd"/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de avaliação do bem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(R$ 399,00); d) taxa de juros acima da média de mercado apurada pelo BACEN (2,00% a.m.).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Requereu a concessão dos benefícios da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gratuidade judiciária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inversão do ônus da prova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tutela provisória de urgência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para suspensão ou redução das parcelas, 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revisão do contrato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com recálculo pelo método Gauss, a declaração de ilegalidade das tarifas e seguro, e 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repetição do indébito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em dobro, no valor de R$ 7.390,10 (ID 159239247, p. 25-27).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>O juízo, em 20/10/2025, determinou que a parte autora comprovasse a hipossuficiência financeira, mediante juntada das últimas declarações de Imposto de Renda, faturas de energia elétrica ou outros documentos (ID 159363907).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>Em 07/11/2025, a autora se manifestou (ID 160718988), juntando certidão negativa de declaração de IR (ID 160718992) e documentos de comprovação de renda (ID 160718992 e seguintes), reiterando o pedido de gratuidade.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O requerido, em 17/11/2025, apresentou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contestação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(ID 161276424), arguindo: a)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preliminar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de litigância predatória, com supostos indícios de atuação massiva da patrona; b)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legalidade das tarifas e encargos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com fundamento na regulamentação do CMN e BACEN; c)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licitude da capitalização de juros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nos termos da MP 2.170-36/2001 e Súmula 541 do STJ; d)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contratação facultativa do seguro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em instrumento apartado, afastando a venda casada; e)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taxa de juros dentro da média de mercado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; f)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invalidade do método Gauss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como sistema de amortização. Juntou documentos (CCB, proposta de seguro, laudo de avaliação, extrato SNG, comprovantes de pagamento).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>Em 26/02/2026, os autos foram conclusos para sentença (ID 168540571).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É o relatório. Passo a fundamentar e decidir.</w:t>
      </w:r>
    </w:p>
    <w:p w:rsidR="00BB4A09" w:rsidRPr="00BB4A09" w:rsidRDefault="00BB4A09" w:rsidP="00BB4A09">
      <w:pPr>
        <w:spacing w:after="0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FUNDAMENTAÇÃO</w:t>
      </w:r>
    </w:p>
    <w:p w:rsidR="00BB4A09" w:rsidRPr="00BB4A09" w:rsidRDefault="00BB4A09" w:rsidP="00BB4A09">
      <w:pPr>
        <w:spacing w:after="0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Gratuidade Judiciária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O autor requereu os benefícios da justiça gratuita, apresentando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declaração de hipossuficiência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(ID 159239252) e, posteriormente, documentos complementares (ID 160718992).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99, § 2º, do CPC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estabelece que o juiz somente poderá indeferir o pedido se houver nos autos elementos que evidenciem a falta dos pressupostos legais para a concessão, devendo, antes de indeferir, determinar à parte a comprovação do preenchimento dos referidos pressupostos.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Conforme disposto no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5º, LXXIV, da Constituição Federal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o Estado prestará assistência jurídica integral e gratuita aos que comprovarem insuficiência de recursos. A declaração de pobreza firmada pela parte goza de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presunção relativa de veracidade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No caso, o autor é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aposentado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com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75 anos de idade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(nascido em 28/03/1951 - ID 161276427, p. 11-14), recebendo renda mensal de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R$ 8.000,00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(conforme ficha cadastral - ID 161276426, p. 5). Embora a renda não seja ínfima, o autor comprovou que não possui declaração de Imposto de Renda a apresentar (ID 160718992), indicando ausência de bens ou rendimentos tributáveis expressivos que pudessem financiar as custas processuais sem prejuízo do próprio sustento.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Considerando que 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98, caput, do CPC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concede o benefício à parte que não possui condições de arcar com as despesas processuais sem prejuízo do próprio sustento ou de sua família, e diante da ausência de elementos robustos nos autos que infirmem a declaração de hipossuficiência,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 o pedido de gratuidade judiciária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BB4A09" w:rsidRPr="00BB4A09" w:rsidRDefault="00BB4A09" w:rsidP="00BB4A09">
      <w:pPr>
        <w:spacing w:after="0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Preliminar - Litigância Predatória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O requerido suscitou preliminar de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litigância predatória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, apontando indícios de atuação massiva da patrona do autor, com petições genéricas e em grande número (ID 161276424, p. 2-5).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Recomendação nº 159/2024 do CNJ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estabelece parâmetros para identificação e tratamento da litigância abusiva, mas sua aplicação deve ser feita com cautela, sem presumir má-fé ou cercear o direito de acesso à justiça (art. 5º, XXXV, CF).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>No caso concreto, o autor juntou documentos pessoais, procuração específica e contratos, demonstrando vínculo com a demanda. Não há elementos concretos nos autos que demonstrem desconhecimento do autor ou captação indevida de clientela. A existência de outras ações propostas pela mesma patrona, por si só, não configura abuso de direito processual.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Assim,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rejeito a preliminar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, sem prejuízo de ulterior verificação pelo juízo competente, se constatados novos indícios.</w:t>
      </w:r>
    </w:p>
    <w:p w:rsidR="00BB4A09" w:rsidRPr="00BB4A09" w:rsidRDefault="00BB4A09" w:rsidP="00BB4A09">
      <w:pPr>
        <w:spacing w:after="0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 Mérito</w:t>
      </w:r>
    </w:p>
    <w:p w:rsidR="00BB4A09" w:rsidRPr="00BB4A09" w:rsidRDefault="00BB4A09" w:rsidP="00BB4A09">
      <w:pPr>
        <w:spacing w:after="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2.3.1. Aplicação do Código de Defesa do Consumidor e Inversão do Ônus da Prova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A relação jurídica entre as partes configura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relação de consumo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nos termos do art. 3º, § 2º, do CDC, uma vez que o autor é consumidor final do serviço bancário prestado pelo requerido, instituição financeira equiparada a fornecedor. 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Súmula 297 do STJ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é expressa: "O Código de Defesa do Consumidor é aplicável às instituições financeiras."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O autor requereu 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inversão do ônus da prova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com fundamento no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6º, VIII, do CDC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A inversão do ônus probatório em favor do consumidor não é automática, dependendo do preenchimento de dois requisitos alternativos: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verossimilhança das alegações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hipossuficiência do consumidor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, a critério do juiz.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No caso, o autor alega abusividades contratuais, mas as provas dos autos demonstram que o contrato foi celebrado com observância das normas regulamentares aplicáveis, conforme se analisará adiante. 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verossimilhança das alegações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não restou configurada, pois as cláusulas questionadas estão em conformidade com a regulamentação do CMN e BACEN. 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hipossuficiência técnica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do autor, por si só, não impõe a inversão quando as provas documentais já produzidas são suficientes para o julgamento da causa.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Diante da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farta documentação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já existente nos autos, que permite o julgamento do mérito,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indefiro o pedido de inversão do ônus da prova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, sem prejuízo da análise das questões de mérito à luz das provas já produzidas.</w:t>
      </w:r>
    </w:p>
    <w:p w:rsidR="00BB4A09" w:rsidRPr="00BB4A09" w:rsidRDefault="00BB4A09" w:rsidP="00BB4A09">
      <w:pPr>
        <w:spacing w:after="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2.3.2. Capitalização de Juros - Tabela </w:t>
      </w:r>
      <w:proofErr w:type="spellStart"/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Price</w:t>
      </w:r>
      <w:proofErr w:type="spellEnd"/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versus Método Gauss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O autor sustenta que o contrato utilizou 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Price</w:t>
      </w:r>
      <w:proofErr w:type="spellEnd"/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com capitalização composta mensal de juros (anatocismo), e requer o recálculo pelo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Sistema de Amortização Gauss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(juros simples), resultando em prestação de R$ 2.135,09 e saldo devedor de R$ 21.202,26 (ID 159239256, p. 9-11).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O requerido, por sua vez, alega que: a) 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capitalização mensal de juros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é permitida pela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Medida Provisória nº 2.170-36/2001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(art. 5º); b) 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Súmula 541 do STJ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autoriza a cobrança da taxa efetiva anual quando prevista taxa anual superior ao duodécuplo da mensal; c) 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28 da Lei nº 10.931/2004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(Cédula de Crédito Bancário) expressamente autoriza a capitalização; d) o método Gauss é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inadequado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para cálculos financeiros, conforme demonstrado por laudo técnico do banco (ID 161276424, p. 10-15).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>Analiso.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Da documentação contratual, consta expressamente no item G da CCB (ID 161276426, p. 10):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Taxa de Juros Mensal: 2,55% a.m.; Taxa de Juros Anual: 35,21% </w:t>
      </w:r>
      <w:proofErr w:type="gramStart"/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a.a.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.</w:t>
      </w:r>
      <w:proofErr w:type="gramEnd"/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O contrato foi celebrado em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01/06/2023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, portanto, após a edição da MP 2.170-36/2001 e da Lei 10.931/2004.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capitalização de juros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em periodicidade inferior a um ano é expressamente autorizada pelo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5º da Medida Provisória nº 2.170-36/2001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, em vigor por força do art. 2º da EC nº 32/2001: "</w:t>
      </w:r>
      <w:r w:rsidRPr="00BB4A09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Nas operações realizadas pelas instituições integrantes do Sistema Financeiro Nacional, é admissível a capitalização de juros com periodicidade inferior a um ano.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"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Súmula 541 do STJ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consolidou o entendimento: "A previsão no contrato bancário de taxa de juros anual superior ao duodécuplo da mensal é suficiente para permitir a cobrança da taxa efetiva anual contratada."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No caso, a taxa anual de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35,21% a.a.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é superior ao duodécuplo da taxa mensal de 2,55% (que seria 30,60%), o que demonstra a previsão da capitalização, conforme exigido pela Súmula 541.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Além disso, o contrato é uma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Cédula de Crédito Bancário (CCB)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regida pela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Lei nº 10.931/2004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, cujo art. 28 autoriza expressamente a capitalização de juros em periodicidade inferior a um ano.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Quanto ao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Método Gauss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proposto pelo autor, o requerido demonstrou, de forma técnica e fundamentada, que o referido método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é um sistema de amortização reconhecido pela matemática financeira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mas sim um método de resolução de equações lineares (ID 161276424, p. 13-15). Conforme demonstração do banco, a aplicação do método Gauss a contratos de financiamento não liquida o saldo devedor ao final do prazo contratado, o que revela sua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inadequação técnica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Não há previsão legal que imponha a utilização de juros simples ou do método Gauss em contratos bancários. 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Sistema Francês de Amortização (Tabela </w:t>
      </w:r>
      <w:proofErr w:type="spellStart"/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Price</w:t>
      </w:r>
      <w:proofErr w:type="spellEnd"/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é amplamente utilizado e aceito pela jurisprudência, desde que observadas as normas regulamentares.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taxa de juros de 2,55% a.m.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está em linha com a taxa média de mercado apurada pelo BACEN para o período (2,00% a.m. - conforme tabela do banco - ID 161276424, p. 16), situando-se abaixo do patamar de 1,5 vezes a taxa média, usualmente considerado como limite para abusividade. Não há demonstração de onerosidade excessiva no caso concreto.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Portanto,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rejeito o pedido de revisão do contrato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quanto à metodologia de cálculo dos juros e capitalização.</w:t>
      </w:r>
    </w:p>
    <w:p w:rsidR="00BB4A09" w:rsidRPr="00BB4A09" w:rsidRDefault="00BB4A09" w:rsidP="00BB4A09">
      <w:pPr>
        <w:spacing w:after="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2.3.3. Seguro - Venda Casada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O autor alega que houve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venda casada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na contratação do seguro de vida (R$ 358,86), sem informação prévia e clara (ID 159239247, p. 8-11).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O requerido sustenta que o seguro foi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contratado facultativamente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em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instrumento separado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com proposta de adesão autônoma assinada pelo autor (ID 161276426, p. 4, 9, 14), e que a seguradora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integra o grupo econômico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do banco (ID 161276424, p. 11-13).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>Da documentação dos autos, verifico que: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proposta de adesão ao seguro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(ID 161276426, p. 4 e 9) foi firmada em documento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autônomo e separado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da Cédula de Crédito Bancário, com data de 01/06/2023, constando a qualificação do autor como proponente, o prêmio único de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R$ 358,86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, a cobertura de morte acidental, e as declarações expressas de ciência e concordância.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O contrato de seguro foi celebrado com 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Icatu Seguros S/A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(CNPJ 42.283.770/0001-39), pessoa jurídica distinta do banco requerido, sendo a BV Corretora de Seguros S/A mera intermediária.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39, I, do CDC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veda ao fornecedor "</w:t>
      </w:r>
      <w:r w:rsidRPr="00BB4A09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condicionar o fornecimento de produto ou serviço ao fornecimento de outro produto ou serviço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", configurando venda casada. No entanto, 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simples oferta conjunta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de produtos, com contratação facultativa e em instrumentos separados,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caracteriza venda casada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Superior Tribunal de Justiça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firmou entendimento, no julgamento do </w:t>
      </w:r>
      <w:proofErr w:type="spellStart"/>
      <w:r w:rsidRPr="00BB4A09">
        <w:rPr>
          <w:rFonts w:ascii="Arial" w:eastAsia="Times New Roman" w:hAnsi="Arial" w:cs="Arial"/>
          <w:sz w:val="24"/>
          <w:szCs w:val="24"/>
          <w:lang w:eastAsia="pt-BR"/>
        </w:rPr>
        <w:t>REsp</w:t>
      </w:r>
      <w:proofErr w:type="spellEnd"/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1.639.259/SP (repetitivo - Tema 54), de que é lícita a contratação de seguro em conjunto com operação de crédito, desde que não haja imposição ao consumidor e que a contratação seja documentada de forma clara e separada.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No caso, não há prova de que a contratação do seguro era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condição para a concessão do financiamento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. Ao contrário, a proposta de seguro foi assinada em separado, com declaração do autor de que "</w:t>
      </w:r>
      <w:r w:rsidRPr="00BB4A09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teve prévio e expresso conhecimento dos termos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" (ID 161276426, p. 4).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Assim,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rejeito o pedido de declaração de ilegalidade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da cobrança do seguro.</w:t>
      </w:r>
    </w:p>
    <w:p w:rsidR="00BB4A09" w:rsidRPr="00BB4A09" w:rsidRDefault="00BB4A09" w:rsidP="00BB4A09">
      <w:pPr>
        <w:spacing w:after="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2.3.4. Tarifa de Registro de Contrato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O autor impugna a cobrança de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R$ 368,33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a título de registro de contrato junto ao órgão de trânsito (ID 159239247, p. 11-14).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O requerido alega que a cobrança é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lícita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conforme 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Tema 958 do STJ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BB4A09">
        <w:rPr>
          <w:rFonts w:ascii="Arial" w:eastAsia="Times New Roman" w:hAnsi="Arial" w:cs="Arial"/>
          <w:sz w:val="24"/>
          <w:szCs w:val="24"/>
          <w:lang w:eastAsia="pt-BR"/>
        </w:rPr>
        <w:t>REsp</w:t>
      </w:r>
      <w:proofErr w:type="spellEnd"/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1.578.553/SP), que reconheceu a validade da cláusula que prevê o ressarcimento de despesa com o registro do contrato, ressalvada a abusividade da cobrança por serviço não efetivamente prestado (ID 161276424, p. 8-11).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>Da documentação dos autos: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Tema 958 do STJ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BB4A09">
        <w:rPr>
          <w:rFonts w:ascii="Arial" w:eastAsia="Times New Roman" w:hAnsi="Arial" w:cs="Arial"/>
          <w:sz w:val="24"/>
          <w:szCs w:val="24"/>
          <w:lang w:eastAsia="pt-BR"/>
        </w:rPr>
        <w:t>REsp</w:t>
      </w:r>
      <w:proofErr w:type="spellEnd"/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1.578.553/SP) fixou a seguinte tese: "</w:t>
      </w:r>
      <w:r w:rsidRPr="00BB4A09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2.3. Validade da tarifa de avaliação do bem dado em garantia, bem como da cláusula que prevê o ressarcimento de despesa com o registro do contrato, ressalvadas a: 2.3.1. </w:t>
      </w:r>
      <w:proofErr w:type="gramStart"/>
      <w:r w:rsidRPr="00BB4A09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abusividade</w:t>
      </w:r>
      <w:proofErr w:type="gramEnd"/>
      <w:r w:rsidRPr="00BB4A09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da cobrança por serviço não efetivamente prestado; e a 2.3.2. </w:t>
      </w:r>
      <w:proofErr w:type="gramStart"/>
      <w:r w:rsidRPr="00BB4A09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possibilidade</w:t>
      </w:r>
      <w:proofErr w:type="gramEnd"/>
      <w:r w:rsidRPr="00BB4A09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de controle da onerosidade excessiva, em cada caso concreto.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"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No caso, 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Termo de Avaliação do Veículo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(ID 161276429) comprova 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efetiva prestação do serviço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com a realização de consultas a bases de dados (multas, IPVA, DPVAT, restrições, gravames) e vistoria do estado de conservação do veículo. O extrato do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SNG - Sistema Nacional de Gravames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(ID 161276430) demonstra a inclusão do gravame eletrônico.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Resolução CMN nº 3.919/2010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art. 5º, VI, autoriza a cobrança de tarifa de avaliação e reavaliação de bens recebidos em garantia. 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Resolução CONTRAN nº 689/2017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autoriza a cobrança pelo registro do contrato no sistema de gravames.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Comprovada a efetiva prestação do serviço e não demonstrada onerosidade excessiva,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rejeito o pedido de devolução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da tarifa de registro de contrato.</w:t>
      </w:r>
    </w:p>
    <w:p w:rsidR="00BB4A09" w:rsidRPr="00BB4A09" w:rsidRDefault="00BB4A09" w:rsidP="00BB4A09">
      <w:pPr>
        <w:spacing w:after="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2.3.5. Tarifa de Avaliação do Bem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O autor impugna a cobrança de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R$ 399,00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a título de tarifa de avaliação do bem (ID 159239247, p. 14-16).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O requerido alega 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legalidade da cobrança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, com fundamento na Resolução CMN nº 3.919/2010 e no Tema 958 do STJ (ID 161276424, p. 9-11).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Como demonstrado no tópico anterior, 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Termo de Avaliação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(ID 161276429) comprova a efetiva prestação do serviço, que incluiu vistoria do veículo (lataria, tapeçaria, pintura, pneus, itens de segurança) e consultas a bases de dados.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Resolução CMN nº 3.919/2010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, art. 5º, VI, autoriza expressamente a cobrança de tarifa de avaliação de bens recebidos em garantia. O serviço foi efetivamente prestado, conforme laudo de vistoria.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Não há abusividade a ser reconhecida.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Rejeito o pedido de devolução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da tarifa de avaliação do bem.</w:t>
      </w:r>
    </w:p>
    <w:p w:rsidR="00BB4A09" w:rsidRPr="00BB4A09" w:rsidRDefault="00BB4A09" w:rsidP="00BB4A09">
      <w:pPr>
        <w:spacing w:after="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2.3.6. Repetição do Indébito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O autor requer 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devolução em dobro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dos valores pagos a maior, no montante de R$ 7.390,10, com fundamento no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42, parágrafo único, do CDC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A repetição do indébito pressupõe a existência de cobrança indevida. Como demonstrado,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houve cobrança indevida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no caso concreto. As cláusulas contratuais impugnadas são lícitas, e os encargos cobrados estão em conformidade com a legislação e regulamentação aplicáveis.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Ausente 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pressuposto da cobrança indevida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, improcede o pedido de repetição, seja na forma simples, seja na forma em dobro.</w:t>
      </w:r>
    </w:p>
    <w:p w:rsidR="00BB4A09" w:rsidRPr="00BB4A09" w:rsidRDefault="00BB4A09" w:rsidP="00BB4A09">
      <w:pPr>
        <w:spacing w:after="0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DISPOSITIVO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>Ante o exposto, com fundamento no art. 487, I, do CPC: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a) Defiro</w:t>
      </w:r>
      <w:proofErr w:type="gramEnd"/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o pedido de gratuidade judiciária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, nos termos do art. 98 e seguintes do CPC e art. 5º, LXXIV, da CF.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b) Julgo</w:t>
      </w:r>
      <w:proofErr w:type="gramEnd"/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IMPROCEDENTES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os pedidos formulados por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CARLOS DOMINGOS RODRIGUES SILVA DA MOTA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VOTORANTIM S.A.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Considerando a sucumbência, condeno o autor ao pagamento das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custas processuais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honorários advocatícios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estes fixados em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10% sobre o valor da causa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, nos termos do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85, § 2º, do CPC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. Todavia, 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exigibilidade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das verbas sucumbenciais fica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suspensa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em razão da gratuidade judiciária deferida, nos termos do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98, § 3º, do CPC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>, devendo ser observado o prazo prescricional de 5 anos para cobrança, conforme § 3º do mesmo artigo.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c) Tutela de urgência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: Fica </w:t>
      </w:r>
      <w:r w:rsidRPr="00BB4A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revogada</w:t>
      </w:r>
      <w:r w:rsidRPr="00BB4A09">
        <w:rPr>
          <w:rFonts w:ascii="Arial" w:eastAsia="Times New Roman" w:hAnsi="Arial" w:cs="Arial"/>
          <w:sz w:val="24"/>
          <w:szCs w:val="24"/>
          <w:lang w:eastAsia="pt-BR"/>
        </w:rPr>
        <w:t xml:space="preserve"> a tutela provisória eventualmente concedida, uma vez que o mérito foi julgado improcedente.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>Publique-se. Registre-se. Intimem-se.</w:t>
      </w:r>
    </w:p>
    <w:p w:rsidR="00BB4A09" w:rsidRPr="00BB4A09" w:rsidRDefault="00BB4A09" w:rsidP="006C6CE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4A09">
        <w:rPr>
          <w:rFonts w:ascii="Arial" w:eastAsia="Times New Roman" w:hAnsi="Arial" w:cs="Arial"/>
          <w:sz w:val="24"/>
          <w:szCs w:val="24"/>
          <w:lang w:eastAsia="pt-BR"/>
        </w:rPr>
        <w:t>Após o trânsito em julgado, arquivem-se os autos.</w:t>
      </w:r>
    </w:p>
    <w:bookmarkEnd w:id="0"/>
    <w:p w:rsidR="00675071" w:rsidRPr="00BB4A09" w:rsidRDefault="00675071" w:rsidP="00BB4A0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sectPr w:rsidR="00675071" w:rsidRPr="00BB4A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A09"/>
    <w:rsid w:val="00675071"/>
    <w:rsid w:val="006C6CE5"/>
    <w:rsid w:val="00BB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E10F2"/>
  <w15:chartTrackingRefBased/>
  <w15:docId w15:val="{55A08DEF-04B4-49F3-878D-19D00D99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B4A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B4A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B4A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B4A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4A0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B4A0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B4A0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B4A09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B4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B4A09"/>
    <w:rPr>
      <w:b/>
      <w:bCs/>
    </w:rPr>
  </w:style>
  <w:style w:type="character" w:styleId="nfase">
    <w:name w:val="Emphasis"/>
    <w:basedOn w:val="Fontepargpadro"/>
    <w:uiPriority w:val="20"/>
    <w:qFormat/>
    <w:rsid w:val="00BB4A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2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2426</Words>
  <Characters>13106</Characters>
  <Application>Microsoft Office Word</Application>
  <DocSecurity>0</DocSecurity>
  <Lines>109</Lines>
  <Paragraphs>31</Paragraphs>
  <ScaleCrop>false</ScaleCrop>
  <Company/>
  <LinksUpToDate>false</LinksUpToDate>
  <CharactersWithSpaces>15501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2026-07-02T15:56:00Z</dcterms:created>
  <dcterms:modified xsi:type="dcterms:W3CDTF">2026-07-02T16:04:00Z</dcterms:modified>
</cp:coreProperties>
</file>