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96E" w:rsidRPr="0093096E" w:rsidRDefault="0093096E" w:rsidP="0093096E">
      <w:pPr>
        <w:spacing w:after="0" w:line="360" w:lineRule="auto"/>
        <w:jc w:val="both"/>
        <w:outlineLvl w:val="0"/>
        <w:rPr>
          <w:rFonts w:ascii="Arial" w:eastAsia="Times New Roman" w:hAnsi="Arial" w:cs="Arial"/>
          <w:bCs/>
          <w:kern w:val="36"/>
          <w:sz w:val="24"/>
          <w:szCs w:val="24"/>
          <w:lang w:eastAsia="pt-BR"/>
        </w:rPr>
      </w:pPr>
      <w:r w:rsidRPr="0093096E">
        <w:rPr>
          <w:rFonts w:ascii="Arial" w:eastAsia="Times New Roman" w:hAnsi="Arial" w:cs="Arial"/>
          <w:bCs/>
          <w:kern w:val="36"/>
          <w:sz w:val="24"/>
          <w:szCs w:val="24"/>
          <w:lang w:eastAsia="pt-BR"/>
        </w:rPr>
        <w:t>Processo n. 0030058-14.2008.8.14.0301</w:t>
      </w:r>
    </w:p>
    <w:p w:rsidR="0093096E" w:rsidRDefault="0093096E" w:rsidP="0093096E">
      <w:pPr>
        <w:spacing w:after="0" w:line="360" w:lineRule="auto"/>
        <w:jc w:val="both"/>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SENTENÇA</w:t>
      </w:r>
    </w:p>
    <w:p w:rsidR="0093096E" w:rsidRPr="0093096E" w:rsidRDefault="009314C5" w:rsidP="0093096E">
      <w:pPr>
        <w:spacing w:after="0" w:line="360" w:lineRule="auto"/>
        <w:jc w:val="both"/>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1. RELATÓRIO</w:t>
      </w:r>
    </w:p>
    <w:p w:rsidR="0093096E" w:rsidRPr="0093096E" w:rsidRDefault="0093096E" w:rsidP="0093096E">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Trata-se de ação monitória ajuizada por </w:t>
      </w:r>
      <w:r w:rsidRPr="0093096E">
        <w:rPr>
          <w:rFonts w:ascii="Arial" w:eastAsia="Times New Roman" w:hAnsi="Arial" w:cs="Arial"/>
          <w:b/>
          <w:bCs/>
          <w:sz w:val="24"/>
          <w:szCs w:val="24"/>
          <w:lang w:eastAsia="pt-BR"/>
        </w:rPr>
        <w:t>BANCO DO ESTADO DO PARÁ S.A. – BANPARÁ</w:t>
      </w:r>
      <w:r w:rsidRPr="0093096E">
        <w:rPr>
          <w:rFonts w:ascii="Arial" w:eastAsia="Times New Roman" w:hAnsi="Arial" w:cs="Arial"/>
          <w:sz w:val="24"/>
          <w:szCs w:val="24"/>
          <w:lang w:eastAsia="pt-BR"/>
        </w:rPr>
        <w:t xml:space="preserve"> em face de </w:t>
      </w:r>
      <w:r w:rsidRPr="0093096E">
        <w:rPr>
          <w:rFonts w:ascii="Arial" w:eastAsia="Times New Roman" w:hAnsi="Arial" w:cs="Arial"/>
          <w:b/>
          <w:bCs/>
          <w:sz w:val="24"/>
          <w:szCs w:val="24"/>
          <w:lang w:eastAsia="pt-BR"/>
        </w:rPr>
        <w:t>MARIA LUIZA DA MOTA MAROJA</w:t>
      </w:r>
      <w:r w:rsidRPr="0093096E">
        <w:rPr>
          <w:rFonts w:ascii="Arial" w:eastAsia="Times New Roman" w:hAnsi="Arial" w:cs="Arial"/>
          <w:sz w:val="24"/>
          <w:szCs w:val="24"/>
          <w:lang w:eastAsia="pt-BR"/>
        </w:rPr>
        <w:t xml:space="preserve">, visando à cobrança de crédito decorrente de contrato de abertura de crédito rotativo denominado MULTICRED, firmado em 03/06/1998, com limite de R$ 9.996,00 (nove mil, novecentos e noventa e seis reais). A petição inicial foi protocolada em 25/08/2008 (ID 72347609), instruída com termo de adesão, contrato padrão, extratos de </w:t>
      </w:r>
      <w:r w:rsidR="009314C5" w:rsidRPr="0093096E">
        <w:rPr>
          <w:rFonts w:ascii="Arial" w:eastAsia="Times New Roman" w:hAnsi="Arial" w:cs="Arial"/>
          <w:sz w:val="24"/>
          <w:szCs w:val="24"/>
          <w:lang w:eastAsia="pt-BR"/>
        </w:rPr>
        <w:t>conta corrente</w:t>
      </w:r>
      <w:r w:rsidRPr="0093096E">
        <w:rPr>
          <w:rFonts w:ascii="Arial" w:eastAsia="Times New Roman" w:hAnsi="Arial" w:cs="Arial"/>
          <w:sz w:val="24"/>
          <w:szCs w:val="24"/>
          <w:lang w:eastAsia="pt-BR"/>
        </w:rPr>
        <w:t>, demonstrativo de débito e notificações postais. Atribuiu-se à causa o valor de R$ 207.809,45 (duzentos e sete mil, oitocentos e nove reais e quarenta e cinco centavos), montante atualizado até junho de 2008.</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 autora narrou que a ré utilizou o limite de crédito até maio de 2003, contudo, em maio de 2004, deixou de honrar os pagamentos, tornando-se inadimplente e ocasionando o vencimento antecipado da dívida, nos termos da Cláusula Quadragésima Sétima do contrato. A ação foi inicialmente distribuída à 2ª Vara de Fazenda da Capital, que, em decisão publicada em 05/09/2008 (ID 72348090), deferiu a expedição de mandado monitório para citação da ré.</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A citação restou infrutífera. O aviso de recebimento postal retornou com a informação de “endereço desconhecido”, conforme certificado nos autos (ID 72348101). Em 09/11/2012, a parte autora requereu a juntada de procuração atualizada e indicou novo endereço para a ré, na Rua Boaventura da Silva, nº 361, </w:t>
      </w:r>
      <w:proofErr w:type="gramStart"/>
      <w:r w:rsidRPr="0093096E">
        <w:rPr>
          <w:rFonts w:ascii="Arial" w:eastAsia="Times New Roman" w:hAnsi="Arial" w:cs="Arial"/>
          <w:sz w:val="24"/>
          <w:szCs w:val="24"/>
          <w:lang w:eastAsia="pt-BR"/>
        </w:rPr>
        <w:t>Apto</w:t>
      </w:r>
      <w:proofErr w:type="gramEnd"/>
      <w:r w:rsidRPr="0093096E">
        <w:rPr>
          <w:rFonts w:ascii="Arial" w:eastAsia="Times New Roman" w:hAnsi="Arial" w:cs="Arial"/>
          <w:sz w:val="24"/>
          <w:szCs w:val="24"/>
          <w:lang w:eastAsia="pt-BR"/>
        </w:rPr>
        <w:t xml:space="preserve"> 1302, Bairro Reduto, Belém/PA (ID 72348101). Foi então determinado e cumprido mandado de citação, mas o Oficial de Justiça certificou, em 11/11/2014, que deixou de citar a ré porque </w:t>
      </w:r>
      <w:proofErr w:type="spellStart"/>
      <w:r w:rsidRPr="0093096E">
        <w:rPr>
          <w:rFonts w:ascii="Arial" w:eastAsia="Times New Roman" w:hAnsi="Arial" w:cs="Arial"/>
          <w:sz w:val="24"/>
          <w:szCs w:val="24"/>
          <w:lang w:eastAsia="pt-BR"/>
        </w:rPr>
        <w:t>esta</w:t>
      </w:r>
      <w:proofErr w:type="spellEnd"/>
      <w:r w:rsidRPr="0093096E">
        <w:rPr>
          <w:rFonts w:ascii="Arial" w:eastAsia="Times New Roman" w:hAnsi="Arial" w:cs="Arial"/>
          <w:sz w:val="24"/>
          <w:szCs w:val="24"/>
          <w:lang w:eastAsia="pt-BR"/>
        </w:rPr>
        <w:t xml:space="preserve"> se encontrava hospitalizada sem previsão de alta (ID 72348106).</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Em 01/10/2015, a 2ª Vara de Fazenda Pública da Capital reconheceu, de ofício, sua incompetência absoluta, por ser a autora sociedade de economia mista e não gozar da prerrogativa de foro privativo de fazenda pública, declinando da competência para uma das Varas Cíveis da Capital (ID 72348106). O feito foi redistribuído à 11ª Vara Cível e Empresarial de Belém.</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Em 15/09/2016, a autora requereu o desentranhamento do mandado anterior e a renovação da citação no endereço da inicial, alegando ter constatado, por contato telefônico, que a ré já se encontrava em sua residência (ID 72348109). </w:t>
      </w:r>
      <w:r w:rsidRPr="0093096E">
        <w:rPr>
          <w:rFonts w:ascii="Arial" w:eastAsia="Times New Roman" w:hAnsi="Arial" w:cs="Arial"/>
          <w:sz w:val="24"/>
          <w:szCs w:val="24"/>
          <w:lang w:eastAsia="pt-BR"/>
        </w:rPr>
        <w:lastRenderedPageBreak/>
        <w:t xml:space="preserve">Após recolhimento de custas, foi expedido novo mandado de citação em 02/04/2018 (ID 72348111). A </w:t>
      </w:r>
      <w:proofErr w:type="spellStart"/>
      <w:r w:rsidRPr="0093096E">
        <w:rPr>
          <w:rFonts w:ascii="Arial" w:eastAsia="Times New Roman" w:hAnsi="Arial" w:cs="Arial"/>
          <w:sz w:val="24"/>
          <w:szCs w:val="24"/>
          <w:lang w:eastAsia="pt-BR"/>
        </w:rPr>
        <w:t>Oficiala</w:t>
      </w:r>
      <w:proofErr w:type="spellEnd"/>
      <w:r w:rsidRPr="0093096E">
        <w:rPr>
          <w:rFonts w:ascii="Arial" w:eastAsia="Times New Roman" w:hAnsi="Arial" w:cs="Arial"/>
          <w:sz w:val="24"/>
          <w:szCs w:val="24"/>
          <w:lang w:eastAsia="pt-BR"/>
        </w:rPr>
        <w:t xml:space="preserve"> de Justiça certificou, em 28/05/2018, que após três tentativas em dias e horários diferentes, foi informada por moradores do local que a ré não mais residia ali há aproximadamente cinco anos, deixando de citá-la (ID 72348112).</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 partir de então, o processo experimentou sucessivas paralisações. Em 07/08/2019, foi publicado ato ordinatório intimando a parte autora para se manifestar sobre a certidão negativa no prazo de dez dias (ID 72348113). A autora não apresentou manifestação nesse prazo, conforme certidão de 11/09/2019 (ID 72348113). Em 12/03/2021, foi proferido despacho determinando a intimação pessoal da parte autora para, em cinco dias, informar se ainda tinha interesse no prosseguimento do feito, sob pena de extinção sem resolução do mérito, com fundamento no art. 485, III, do CPC/2015 (ID 72348113). A intimação pessoal foi cumprida em 13/05/2021, por meio eletrônico, conforme certidão do Oficial de Justiça (ID 72348114).</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Em 26/04/2021 e 20/05/2021, a autora manifestou interesse no prosseguimento do feito e requereu a realização de buscas de endereço da ré nos sistemas INFOJUD e SIEL, além de expedição de ofício ao IGEPREV (ID 72348115, ID 72348121). Após a digitalização dos autos e sua migração para o sistema </w:t>
      </w:r>
      <w:proofErr w:type="spellStart"/>
      <w:r w:rsidRPr="0093096E">
        <w:rPr>
          <w:rFonts w:ascii="Arial" w:eastAsia="Times New Roman" w:hAnsi="Arial" w:cs="Arial"/>
          <w:sz w:val="24"/>
          <w:szCs w:val="24"/>
          <w:lang w:eastAsia="pt-BR"/>
        </w:rPr>
        <w:t>PJe</w:t>
      </w:r>
      <w:proofErr w:type="spellEnd"/>
      <w:r w:rsidRPr="0093096E">
        <w:rPr>
          <w:rFonts w:ascii="Arial" w:eastAsia="Times New Roman" w:hAnsi="Arial" w:cs="Arial"/>
          <w:sz w:val="24"/>
          <w:szCs w:val="24"/>
          <w:lang w:eastAsia="pt-BR"/>
        </w:rPr>
        <w:t xml:space="preserve"> (certidão ID 72348124), em 16/12/2024 foi proferido despacho deferindo o pedido, condicionado ao pagamento das custas no prazo de quinze dias (ID 133766763). O comprovante de pagamento das custas foi juntado em 20/12/2024 (ID 133978842, ID 134115413, ID 134115414).</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Em 19/09/2025, este Juízo proferiu decisão determinando que a parte exequente se manifestasse, no prazo de dez dias, acerca da eventual ocorrência da prescrição intercorrente, considerando o lapso temporal transcorrido sem a satisfação do crédito (ID 157120041). A autora manifestou-se em 06/10/2025, sustentando a inocorrência da prescrição, sob o argumento de que sempre diligenciou nos autos e de que a demora não decorreu de sua exclusiva inércia (ID 158421866).</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É o que importa relatar. Passo à fundamentação.</w:t>
      </w:r>
    </w:p>
    <w:p w:rsidR="0093096E" w:rsidRPr="0093096E" w:rsidRDefault="009314C5" w:rsidP="0093096E">
      <w:pPr>
        <w:spacing w:after="0" w:line="360" w:lineRule="auto"/>
        <w:jc w:val="both"/>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2. FUNDAMENTAÇÃO</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O cerne da presente decisão consiste em examinar se, diante do longo lapso temporal transcorrido sem a efetiva citação da parte ré e sem a satisfação do </w:t>
      </w:r>
      <w:r w:rsidRPr="0093096E">
        <w:rPr>
          <w:rFonts w:ascii="Arial" w:eastAsia="Times New Roman" w:hAnsi="Arial" w:cs="Arial"/>
          <w:sz w:val="24"/>
          <w:szCs w:val="24"/>
          <w:lang w:eastAsia="pt-BR"/>
        </w:rPr>
        <w:lastRenderedPageBreak/>
        <w:t>crédito perseguido pela autora, ocorreu a prescrição intercorrente, a qual impõe a extinção do processo com resolução de mérito, nos termos do art. 487, II, do Código de Processo Civil de 2015.</w:t>
      </w:r>
    </w:p>
    <w:p w:rsidR="0093096E" w:rsidRPr="0093096E" w:rsidRDefault="0093096E" w:rsidP="0093096E">
      <w:pPr>
        <w:spacing w:after="0" w:line="360" w:lineRule="auto"/>
        <w:jc w:val="both"/>
        <w:outlineLvl w:val="1"/>
        <w:rPr>
          <w:rFonts w:ascii="Arial" w:eastAsia="Times New Roman" w:hAnsi="Arial" w:cs="Arial"/>
          <w:b/>
          <w:bCs/>
          <w:sz w:val="24"/>
          <w:szCs w:val="24"/>
          <w:lang w:eastAsia="pt-BR"/>
        </w:rPr>
      </w:pPr>
      <w:r w:rsidRPr="0093096E">
        <w:rPr>
          <w:rFonts w:ascii="Arial" w:eastAsia="Times New Roman" w:hAnsi="Arial" w:cs="Arial"/>
          <w:b/>
          <w:bCs/>
          <w:sz w:val="24"/>
          <w:szCs w:val="24"/>
          <w:lang w:eastAsia="pt-BR"/>
        </w:rPr>
        <w:t>2.1. Da prescrição intercorrente no processo civil: disciplina normativa aplicável</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 prescrição intercorrente é o instituto jurídico por meio do qual a pretensão do exequente perece no curso do próprio processo executivo ou de cumprimento de sentença, em virtude de sua inércia prolongada na adoção das providências necessárias ao impulso do feito. Trata-se de consagração do princípio geral que informa a prescrição como sanção à negligência do titular do direito, aplicada no interior da relação processual quando a paralisação desta se prolonga por tempo equivalente ao prazo prescricional da pretensão material.</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O Código de Processo Civil de 1973, vigente à época da propositura da ação, já contemplava a possibilidade de reconhecimento da prescrição intercorrente, especialmente no âmbito das execuções fiscais e das ações de cobrança, embora sem regulamentação exaustiva. A matéria foi tratada de forma mais sistemática pelo Código de Processo Civil de 2015, que, no art. 921, estabelece as hipóteses de suspensão e extinção da execução.</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O art. 921, em seus incisos e parágrafos, dispõe que, não localizados bens penhoráveis, o juiz suspenderá o curso da execução (inciso III). Durante a suspensão, o exequente deve ser intimado para, no prazo legal, indicar bens passíveis de penhora ou requerer providências úteis ao prosseguimento. O § 1º do mesmo artigo determina que, decorrido o prazo de um ano de suspensão sem que seja localizado o devedor ou encontrados bens penhoráveis, inicia-se automaticamente a contagem do prazo da prescrição intercorrente.</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O § 4º do art. 921 é enfático ao dispor que a prescrição intercorrente pode ser reconhecida de ofício ou a requerimento da parte, desde que o processo fique paralisado por mais de um ano por negligência do exequente, e que o prazo de prescrição material tenha transcorrido durante a paralisação. O § 5º, por sua vez, prevê que a decisão que a reconhece deve ser precedida de manifestação das partes.</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A </w:t>
      </w:r>
      <w:proofErr w:type="spellStart"/>
      <w:r w:rsidRPr="0093096E">
        <w:rPr>
          <w:rFonts w:ascii="Arial" w:eastAsia="Times New Roman" w:hAnsi="Arial" w:cs="Arial"/>
          <w:sz w:val="24"/>
          <w:szCs w:val="24"/>
          <w:lang w:eastAsia="pt-BR"/>
        </w:rPr>
        <w:t>ratio</w:t>
      </w:r>
      <w:proofErr w:type="spellEnd"/>
      <w:r w:rsidRPr="0093096E">
        <w:rPr>
          <w:rFonts w:ascii="Arial" w:eastAsia="Times New Roman" w:hAnsi="Arial" w:cs="Arial"/>
          <w:sz w:val="24"/>
          <w:szCs w:val="24"/>
          <w:lang w:eastAsia="pt-BR"/>
        </w:rPr>
        <w:t xml:space="preserve"> </w:t>
      </w:r>
      <w:proofErr w:type="spellStart"/>
      <w:r w:rsidRPr="0093096E">
        <w:rPr>
          <w:rFonts w:ascii="Arial" w:eastAsia="Times New Roman" w:hAnsi="Arial" w:cs="Arial"/>
          <w:sz w:val="24"/>
          <w:szCs w:val="24"/>
          <w:lang w:eastAsia="pt-BR"/>
        </w:rPr>
        <w:t>essendi</w:t>
      </w:r>
      <w:proofErr w:type="spellEnd"/>
      <w:r w:rsidRPr="0093096E">
        <w:rPr>
          <w:rFonts w:ascii="Arial" w:eastAsia="Times New Roman" w:hAnsi="Arial" w:cs="Arial"/>
          <w:sz w:val="24"/>
          <w:szCs w:val="24"/>
          <w:lang w:eastAsia="pt-BR"/>
        </w:rPr>
        <w:t xml:space="preserve"> do instituto, portanto, é clara: coibir a perpetuação de demandas em que o credor, dispondo de meios processuais para satisfazer seu direito, mantém-se inerte por período igual ou superior ao prazo prescricional da </w:t>
      </w:r>
      <w:r w:rsidRPr="0093096E">
        <w:rPr>
          <w:rFonts w:ascii="Arial" w:eastAsia="Times New Roman" w:hAnsi="Arial" w:cs="Arial"/>
          <w:sz w:val="24"/>
          <w:szCs w:val="24"/>
          <w:lang w:eastAsia="pt-BR"/>
        </w:rPr>
        <w:lastRenderedPageBreak/>
        <w:t>pretensão originária, frustrando a estabilização das relações jurídicas e a razoável duração do processo, valores constitucionalmente protegidos (art. 5º, LXXVIII, da Constituição Federal de 1988).</w:t>
      </w:r>
    </w:p>
    <w:p w:rsidR="0093096E" w:rsidRPr="0093096E" w:rsidRDefault="0093096E" w:rsidP="0093096E">
      <w:pPr>
        <w:spacing w:after="0" w:line="360" w:lineRule="auto"/>
        <w:jc w:val="both"/>
        <w:outlineLvl w:val="1"/>
        <w:rPr>
          <w:rFonts w:ascii="Arial" w:eastAsia="Times New Roman" w:hAnsi="Arial" w:cs="Arial"/>
          <w:b/>
          <w:bCs/>
          <w:sz w:val="24"/>
          <w:szCs w:val="24"/>
          <w:lang w:eastAsia="pt-BR"/>
        </w:rPr>
      </w:pPr>
      <w:r w:rsidRPr="0093096E">
        <w:rPr>
          <w:rFonts w:ascii="Arial" w:eastAsia="Times New Roman" w:hAnsi="Arial" w:cs="Arial"/>
          <w:b/>
          <w:bCs/>
          <w:sz w:val="24"/>
          <w:szCs w:val="24"/>
          <w:lang w:eastAsia="pt-BR"/>
        </w:rPr>
        <w:t>2.2. Da cronologia processual e dos marcos de inércia da parte autora</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 ação monitória foi ajuizada em 25/08/2008 (ID 72347609). A pretensão de cobrança, oriunda de contrato de abertura de crédito rotativo (</w:t>
      </w:r>
      <w:proofErr w:type="spellStart"/>
      <w:r w:rsidRPr="0093096E">
        <w:rPr>
          <w:rFonts w:ascii="Arial" w:eastAsia="Times New Roman" w:hAnsi="Arial" w:cs="Arial"/>
          <w:sz w:val="24"/>
          <w:szCs w:val="24"/>
          <w:lang w:eastAsia="pt-BR"/>
        </w:rPr>
        <w:t>Multicred</w:t>
      </w:r>
      <w:proofErr w:type="spellEnd"/>
      <w:r w:rsidRPr="0093096E">
        <w:rPr>
          <w:rFonts w:ascii="Arial" w:eastAsia="Times New Roman" w:hAnsi="Arial" w:cs="Arial"/>
          <w:sz w:val="24"/>
          <w:szCs w:val="24"/>
          <w:lang w:eastAsia="pt-BR"/>
        </w:rPr>
        <w:t>) firmado em 03/06/1998, baseava-se no inadimplemento verificado a partir de maio de 2004, quando a ré teria deixado de efetuar os pagamentos das parcelas pactuadas. A partir da propositura da ação, a autora obteve a primeira decisão favorável em setembro de 2008, que determinou a expedição do mandado monitório.</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Contudo, passados mais de dezoito anos desde o ajuizamento, a citação da ré jamais foi efetivada. As tentativas de citação revelaram-se infrutíferas em três momentos distintos: (a) inicialmente, por via postal, o correio retornou com a informação de “endereço desconhecido” (2008/2012); (b) posteriormente, em 11/11/2014, o Oficial de Justiça certificou que a ré estava hospitalizada sem previsão de alta (ID 72348106); (c) finalmente, em 28/05/2018, nova tentativa de citação restou negativa, com a informação de que a ré não mais residia no endereço indicado havia aproximadamente cinco anos (ID 72348112).</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Após essa última certidão negativa, de 28/05/2018, o impulso processual da parte autora foi marcadamente insuficiente. O ato ordinatório de 07/08/2019 (ID 72348113) intimou a autora para se manifestar sobre a certidão negativa no prazo de dez dias. Conforme certidão exarada pela serventia em 11/09/2019 (ID 72348113), a parte autora, embora regularmente intimada, não apresentou manifestação no prazo assinado.</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 inércia somente foi rompida mediante intimação pessoal, determinada pelo despacho de 12/03/2021 (ID 72348113) e cumprida em 13/05/2021 (ID 72348114), oportunidade em que a autora, após quase dois anos de completa paralisação, veio aos autos requerer buscas eletrônicas de endereço. Ou seja, entre maio de 2018 (devolução do mandado de citação) e maio de 2021 (efetiva manifestação da autora com requerimento de novas diligências), passaram-se três anos sem que a parte autora tomasse qualquer iniciativa concreta e eficaz para impulsionar a localização da ré.</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lastRenderedPageBreak/>
        <w:t>Mesmo depois da manifestação de 2021, o andamento do feito prosseguiu de forma lenta. O pedido de buscas eletrônicas (INFOJUD, SIEL e ofício ao IGEPREV) somente foi despachado em 16/12/2024 (ID 133766763), mais de três anos e meio após o requerimento, e as custas somente foram recolhidas em 20/12/2024 (ID 133978842, ID 134115413, ID 134115414). Não há nos autos, até a presente data, qualquer comprovação de que as consultas tenham sido efetivadas ou de que a ré tenha sido localizada.</w:t>
      </w:r>
    </w:p>
    <w:p w:rsidR="0093096E" w:rsidRPr="0093096E" w:rsidRDefault="0093096E" w:rsidP="009314C5">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Essa cronologia evidencia um padrão de comportamento processual que não se compatibiliza com a diligência esperada do credor que pretende preservar seu direito de crédito. A inércia da autora, sobretudo no interregno 2018-2021 — durante o qual sequer respondeu à intimação simples do juízo para se manifestar sobre a certidão negativa do oficial de justiça —, constitui descumprimento do dever de cooperação processual e do ônus de impulsionar o feito, de que trata o art. 2º do CPC/2015, segundo o qual o processo começa por iniciativa da parte, mas se desenvolve por impulso oficial. Embora o impulso oficial seja um princípio norteador da jurisdição, ele não exime a parte do dever de praticar os atos que lhe competem, notadamente aqueles que dependem de sua iniciativa exclusiva para o avanço da marcha processual.</w:t>
      </w:r>
    </w:p>
    <w:p w:rsidR="0093096E" w:rsidRPr="0093096E" w:rsidRDefault="0093096E" w:rsidP="0093096E">
      <w:pPr>
        <w:spacing w:after="0" w:line="360" w:lineRule="auto"/>
        <w:jc w:val="both"/>
        <w:outlineLvl w:val="1"/>
        <w:rPr>
          <w:rFonts w:ascii="Arial" w:eastAsia="Times New Roman" w:hAnsi="Arial" w:cs="Arial"/>
          <w:b/>
          <w:bCs/>
          <w:sz w:val="24"/>
          <w:szCs w:val="24"/>
          <w:lang w:eastAsia="pt-BR"/>
        </w:rPr>
      </w:pPr>
      <w:r w:rsidRPr="0093096E">
        <w:rPr>
          <w:rFonts w:ascii="Arial" w:eastAsia="Times New Roman" w:hAnsi="Arial" w:cs="Arial"/>
          <w:b/>
          <w:bCs/>
          <w:sz w:val="24"/>
          <w:szCs w:val="24"/>
          <w:lang w:eastAsia="pt-BR"/>
        </w:rPr>
        <w:t>2.3. Da prescrição da pretensão material originária</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 pretensão material deduzida pela autora é de natureza contratual, fundada em contrato de abertura de crédito rotativo (</w:t>
      </w:r>
      <w:proofErr w:type="spellStart"/>
      <w:r w:rsidRPr="0093096E">
        <w:rPr>
          <w:rFonts w:ascii="Arial" w:eastAsia="Times New Roman" w:hAnsi="Arial" w:cs="Arial"/>
          <w:sz w:val="24"/>
          <w:szCs w:val="24"/>
          <w:lang w:eastAsia="pt-BR"/>
        </w:rPr>
        <w:t>Multicred</w:t>
      </w:r>
      <w:proofErr w:type="spellEnd"/>
      <w:r w:rsidRPr="0093096E">
        <w:rPr>
          <w:rFonts w:ascii="Arial" w:eastAsia="Times New Roman" w:hAnsi="Arial" w:cs="Arial"/>
          <w:sz w:val="24"/>
          <w:szCs w:val="24"/>
          <w:lang w:eastAsia="pt-BR"/>
        </w:rPr>
        <w:t>) celebrado em 03/06/1998. Trata-se de relação jurídica de direito privado, na qual a prestação devida pela ré consiste no pagamento de soma em dinheiro correspondente ao capital mutuado acrescido de encargos contratuais.</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O prazo prescricional aplicável à espécie, considerando a vigência do Código Civil de 1916 à época da celebração do contrato e do inadimplemento (2004), era de vinte anos (art. 177, CC/1916). Com a entrada em vigor do Código Civil de 2002, em 11/01/2003, o prazo prescricional geral foi reduzido para dez anos (art. 205, CC/2002). Aplica-se a regra de transição do art. 2.028 do CC/2002, segundo a qual, se na data da entrada em vigor do novo Código já houver transcorrido mais da metade do prazo previsto na lei anterior, este prevalece; caso contrário, aplica-se o novo prazo, contado da vigência da lei nova.</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No caso concreto, o inadimplemento contratual ocorreu em maio de 2004, quando já vigente o Código Civil de 2002. Portanto, a pretensão submetia-se ao </w:t>
      </w:r>
      <w:r w:rsidRPr="0093096E">
        <w:rPr>
          <w:rFonts w:ascii="Arial" w:eastAsia="Times New Roman" w:hAnsi="Arial" w:cs="Arial"/>
          <w:sz w:val="24"/>
          <w:szCs w:val="24"/>
          <w:lang w:eastAsia="pt-BR"/>
        </w:rPr>
        <w:lastRenderedPageBreak/>
        <w:t>prazo prescricional decenal, que começou a fluir a partir da data em que a dívida se tornou exigível. A ação monitória foi ajuizada em 25/08/2008, quando ainda não havia transcorrido o prazo decenal, de modo que a prescrição material originária foi interrompida pelo despacho que ordenou a citação (art. 219, § 1º, CPC/1973, vigente à época).</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Contudo, a interrupção da prescrição operada pelo ajuizamento da ação não é um evento que imuniza o direito do autor contra a prescrição de forma perpétua. Nos termos do art. 219, § 2º, do CPC/1973 (correspondente ao art. 240, § 2º, do CPC/2015), a interrupção da prescrição pela citação válida retroage à data da propositura da ação, desde que o autor adote as providências necessárias para a citação do réu nos prazos legais. Se a citação não for efetivada por inércia do autor, a prescrição considera-se não interrompida, fluindo regularmente desde a data da lesão.</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No caso, a citação jamais foi efetivada. Após a última certidão negativa, de 28/05/2018, a autora permaneceu inerte por longo período, não promovendo as medidas razoáveis para a localização da ré. Essa conduta contínua de desídia permite o reconhecimento da prescrição intercorrente, cujo prazo, no caso, é de dez anos, por força do art. 205 do CC/2002 e em consonância com o art. 921, § 4º, do CPC/2015.</w:t>
      </w:r>
    </w:p>
    <w:p w:rsidR="0093096E" w:rsidRPr="0093096E" w:rsidRDefault="0093096E" w:rsidP="0093096E">
      <w:pPr>
        <w:spacing w:after="0" w:line="360" w:lineRule="auto"/>
        <w:jc w:val="both"/>
        <w:outlineLvl w:val="1"/>
        <w:rPr>
          <w:rFonts w:ascii="Arial" w:eastAsia="Times New Roman" w:hAnsi="Arial" w:cs="Arial"/>
          <w:b/>
          <w:bCs/>
          <w:sz w:val="24"/>
          <w:szCs w:val="24"/>
          <w:lang w:eastAsia="pt-BR"/>
        </w:rPr>
      </w:pPr>
      <w:r w:rsidRPr="0093096E">
        <w:rPr>
          <w:rFonts w:ascii="Arial" w:eastAsia="Times New Roman" w:hAnsi="Arial" w:cs="Arial"/>
          <w:b/>
          <w:bCs/>
          <w:sz w:val="24"/>
          <w:szCs w:val="24"/>
          <w:lang w:eastAsia="pt-BR"/>
        </w:rPr>
        <w:t>2.4. Do transcurso do prazo da prescrição intercorrente no caso concreto</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Consoante a disciplina do art. 921, § 4º, do CPC/2015, o prazo da prescrição intercorrente flui a partir do momento em que o processo fica paralisado por mais de um ano em razão de negligência do exequente. No caso dos autos, é possível identificar marcos sucessivos de paralisação que, somados, extrapolam em muito o prazo prescricional aplicável.</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 primeira tentativa de citação da ré retornou com a informação de “endereço desconhecido” ainda em 2008/2012. A autora somente indicou novo endereço em 09/11/2012 (ID 72348101). O mandado de citação para o novo endereço foi expedido em 2013 e cumprido em 11/11/2014, com a certidão de que a ré estava hospitalizada (ID 72348106). Após essa certidão, o feito ficou paralisado por longo período, sem qualquer iniciativa eficaz da autora. Somente em 15/09/2016 a autora requereu nova citação (ID 72348109), cerca de um ano e dez meses depois. Esse interregno de quase dois anos já configuraria paralisação por inércia da parte.</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lastRenderedPageBreak/>
        <w:t>Mais grave ainda é o período subsequente. Após a certidão negativa de 28/05/2018 (ID 72348112), o processo permaneceu paralisado por mais de três anos até a manifestação da autora em 26/04/2021 e 20/05/2021 (ID 72348115, ID 72348121), e isso somente porque instada pessoalmente a fazê-lo. Durante esse lapso de quase três anos, a autora não adotou qualquer medida concreta para localizar a ré, sequer se manifestou quando intimada por ato ordinatório em agosto de 2019, conforme certificado nos autos (ID 72348113).</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Somados os períodos de inércia imputáveis à parte autora — desde 2014, quando a ré foi considerada hospitalizada e a autora não requereu nenhuma medida de localização alternativa, até 2021, quando finalmente postulou buscas eletrônicas —, constata-se que a paralisação perdurou por aproximadamente sete anos consecutivos sem impulso eficaz. Se considerarmos a paralisação em sua integralidade, ou seja, desde 2008 sem que a citação jamais tenha sido efetivada por desídia do exequente em promover adequadamente a localização da ré, o lapso temporal é ainda mais elástico e supera em muito o prazo prescricional decenal.</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Ainda que se considere a suspensão de prazos processuais ocorrida durante a pandemia de COVID-19 (2020-2021), o período de paralisação não justificada é suficientemente amplo para caracterizar a prescrição. As portarias do Tribunal de Justiça do Estado do Pará juntadas aos autos (ID 72348117, ID 72348118, ID 72348119, ID 72348120) demonstram que a suspensão de prazos na comarca de Belém não foi contínua nem abrangeu todo o período de paralisação, sendo que, mesmo nos intervalos de retomada dos prazos processuais eletrônicos, a autora manteve-se silente.</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O prazo prescricional aplicável à pretensão material é decenal (art. 205, CC/2002), e mesmo que se considere como termo inicial da prescrição intercorrente apenas o marco da última paralisação (maio de 2018), o decurso de mais de sete anos até a presente data (03/07/2026) já é suficiente para o reconhecimento da prescrição, já que a inércia da autora perdurou por período superior a dez anos se considerado todo o lapso desde o ajuizamento sem citação válida.</w:t>
      </w:r>
    </w:p>
    <w:p w:rsidR="0093096E" w:rsidRPr="0093096E" w:rsidRDefault="0093096E" w:rsidP="0093096E">
      <w:pPr>
        <w:spacing w:after="0" w:line="360" w:lineRule="auto"/>
        <w:jc w:val="both"/>
        <w:outlineLvl w:val="1"/>
        <w:rPr>
          <w:rFonts w:ascii="Arial" w:eastAsia="Times New Roman" w:hAnsi="Arial" w:cs="Arial"/>
          <w:b/>
          <w:bCs/>
          <w:sz w:val="24"/>
          <w:szCs w:val="24"/>
          <w:lang w:eastAsia="pt-BR"/>
        </w:rPr>
      </w:pPr>
      <w:r w:rsidRPr="0093096E">
        <w:rPr>
          <w:rFonts w:ascii="Arial" w:eastAsia="Times New Roman" w:hAnsi="Arial" w:cs="Arial"/>
          <w:b/>
          <w:bCs/>
          <w:sz w:val="24"/>
          <w:szCs w:val="24"/>
          <w:lang w:eastAsia="pt-BR"/>
        </w:rPr>
        <w:t>2.5. Da impossibilidade de atribuir a demora exclusivamente ao Poder Judiciário. O ônus da parte autora na promoção da citação</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lastRenderedPageBreak/>
        <w:t>A parte autora, em sua manifestação de 06/10/2025 (ID 158421866), sustenta que a demora na tramitação do feito decorre também de falhas do Poder Judiciário na expedição de mandados e na implementação das consultas eletrônicas, de modo que a paralisação não lhe seria exclusivamente imputável.</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Não assiste razão à autora nesse particular. É certo que o processo civil se desenvolve por impulso oficial (art. 2º, CPC/2015), mas o princípio não exime a parte do ônus de praticar os atos que lhe competem e de requerer, de forma tempestiva e por meio de petição idônea, as providências necessárias à continuidade do feito. No caso, a parte autora foi reiteradamente intimada a dar andamento ao processo e a fornecer endereços atualizados da ré, quedando-se inerte em momentos cruciais, como demonstrado pela certidão de decurso de prazo sem manifestação em setembro de 2019 (ID 72348113).</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Ademais, o dever de colaboração para a localização da ré recai primordialmente sobre o credor, que detém os meios de consulta aos seus cadastros internos e que, por força do princípio da boa-fé objetiva que rege os contratos (art. 422, CC/2002), deve manter canais de comunicação atualizados com a devedora. A mudança de endereço da ré sem comunicação ao credor não exonera este do ônus de diligenciar ativamente pela sua localização, utilizando os instrumentos processuais disponíveis. A autora, entretanto, demorou anos para requerer a utilização dos sistemas eletrônicos de busca (INFOJUD, SIEL) e a expedição de ofício ao IGEPREV, medidas que já poderiam ter sido postuladas muito antes, tão logo se revelaram infrutíferas as tentativas de citação pelos meios ordinários.</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Dessa forma, a paralisação do feito e a consequente prescrição intercorrente decorrem, em medida substancial, da inércia da própria autora, que não promoveu, com a presteza e a continuidade exigíveis, os atos necessários ao prosseguimento da demanda, permitindo que o tempo consumisse a possibilidade de satisfação de seu direito.</w:t>
      </w:r>
    </w:p>
    <w:p w:rsidR="0093096E" w:rsidRPr="0093096E" w:rsidRDefault="0093096E" w:rsidP="0093096E">
      <w:pPr>
        <w:spacing w:after="0" w:line="360" w:lineRule="auto"/>
        <w:jc w:val="both"/>
        <w:outlineLvl w:val="1"/>
        <w:rPr>
          <w:rFonts w:ascii="Arial" w:eastAsia="Times New Roman" w:hAnsi="Arial" w:cs="Arial"/>
          <w:b/>
          <w:bCs/>
          <w:sz w:val="24"/>
          <w:szCs w:val="24"/>
          <w:lang w:eastAsia="pt-BR"/>
        </w:rPr>
      </w:pPr>
      <w:r w:rsidRPr="0093096E">
        <w:rPr>
          <w:rFonts w:ascii="Arial" w:eastAsia="Times New Roman" w:hAnsi="Arial" w:cs="Arial"/>
          <w:b/>
          <w:bCs/>
          <w:sz w:val="24"/>
          <w:szCs w:val="24"/>
          <w:lang w:eastAsia="pt-BR"/>
        </w:rPr>
        <w:t>2.6. Da conclusão quanto à prescrição intercorrente</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Delineado o quadro fático e jurídico, conclui-se que estão presentes os requisitos para o reconhecimento da prescrição intercorrente no caso em tela: (a) a pretensão material da autora submete-se ao prazo prescricional decenal previsto no art. 205 do CC/2002; (b) o processo permaneceu paralisado por período superior a um ano por negligência da parte autora, que deixou de promover os atos necessários ao prosseguimento e à localização da ré, conforme </w:t>
      </w:r>
      <w:r w:rsidRPr="0093096E">
        <w:rPr>
          <w:rFonts w:ascii="Arial" w:eastAsia="Times New Roman" w:hAnsi="Arial" w:cs="Arial"/>
          <w:sz w:val="24"/>
          <w:szCs w:val="24"/>
          <w:lang w:eastAsia="pt-BR"/>
        </w:rPr>
        <w:lastRenderedPageBreak/>
        <w:t>demonstrado pelas certidões e pelos sucessivos atos ordinatórios e intimação pessoal; (c) o prazo prescricional decenal transcorreu no curso do processo, seja considerado a partir da última certidão negativa de citação (maio de 2018), seja considerado o período global de inércia desde o ajuizamento; (d) a parte autora foi devidamente intimada a se manifestar sobre a ocorrência da prescrição, como determina o art. 921, § 5º, do CPC/2015, e o fez em 06/10/2025 (ID 158421866), exercendo plenamente o contraditório.</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Assim, o reconhecimento da prescrição intercorrente é medida que se impõe, com a consequente extinção do processo com resolução de mérito, nos termos do art. 487, II, do CPC/2015.</w:t>
      </w:r>
    </w:p>
    <w:p w:rsidR="0093096E" w:rsidRPr="0093096E" w:rsidRDefault="0093096E" w:rsidP="0093096E">
      <w:pPr>
        <w:spacing w:after="0" w:line="360" w:lineRule="auto"/>
        <w:jc w:val="both"/>
        <w:outlineLvl w:val="0"/>
        <w:rPr>
          <w:rFonts w:ascii="Arial" w:eastAsia="Times New Roman" w:hAnsi="Arial" w:cs="Arial"/>
          <w:b/>
          <w:bCs/>
          <w:kern w:val="36"/>
          <w:sz w:val="24"/>
          <w:szCs w:val="24"/>
          <w:lang w:eastAsia="pt-BR"/>
        </w:rPr>
      </w:pPr>
      <w:r w:rsidRPr="0093096E">
        <w:rPr>
          <w:rFonts w:ascii="Arial" w:eastAsia="Times New Roman" w:hAnsi="Arial" w:cs="Arial"/>
          <w:b/>
          <w:bCs/>
          <w:kern w:val="36"/>
          <w:sz w:val="24"/>
          <w:szCs w:val="24"/>
          <w:lang w:eastAsia="pt-BR"/>
        </w:rPr>
        <w:t>3. Dispositivo</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 xml:space="preserve">Ante o exposto, </w:t>
      </w:r>
      <w:r w:rsidRPr="0093096E">
        <w:rPr>
          <w:rFonts w:ascii="Arial" w:eastAsia="Times New Roman" w:hAnsi="Arial" w:cs="Arial"/>
          <w:b/>
          <w:bCs/>
          <w:sz w:val="24"/>
          <w:szCs w:val="24"/>
          <w:lang w:eastAsia="pt-BR"/>
        </w:rPr>
        <w:t>RECONHEÇO A PRESCRIÇÃO INTERCORRENTE</w:t>
      </w:r>
      <w:r w:rsidRPr="0093096E">
        <w:rPr>
          <w:rFonts w:ascii="Arial" w:eastAsia="Times New Roman" w:hAnsi="Arial" w:cs="Arial"/>
          <w:sz w:val="24"/>
          <w:szCs w:val="24"/>
          <w:lang w:eastAsia="pt-BR"/>
        </w:rPr>
        <w:t xml:space="preserve"> da pretensão autoral e, em consequência, </w:t>
      </w:r>
      <w:r w:rsidRPr="0093096E">
        <w:rPr>
          <w:rFonts w:ascii="Arial" w:eastAsia="Times New Roman" w:hAnsi="Arial" w:cs="Arial"/>
          <w:b/>
          <w:bCs/>
          <w:sz w:val="24"/>
          <w:szCs w:val="24"/>
          <w:lang w:eastAsia="pt-BR"/>
        </w:rPr>
        <w:t>JULGO EXTINTO O PROCESSO COM RESOLUÇÃO DE MÉRITO</w:t>
      </w:r>
      <w:r w:rsidRPr="0093096E">
        <w:rPr>
          <w:rFonts w:ascii="Arial" w:eastAsia="Times New Roman" w:hAnsi="Arial" w:cs="Arial"/>
          <w:sz w:val="24"/>
          <w:szCs w:val="24"/>
          <w:lang w:eastAsia="pt-BR"/>
        </w:rPr>
        <w:t>, com fundamento no art. 487, II, c/</w:t>
      </w:r>
      <w:proofErr w:type="gramStart"/>
      <w:r w:rsidRPr="0093096E">
        <w:rPr>
          <w:rFonts w:ascii="Arial" w:eastAsia="Times New Roman" w:hAnsi="Arial" w:cs="Arial"/>
          <w:sz w:val="24"/>
          <w:szCs w:val="24"/>
          <w:lang w:eastAsia="pt-BR"/>
        </w:rPr>
        <w:t>c</w:t>
      </w:r>
      <w:proofErr w:type="gramEnd"/>
      <w:r w:rsidRPr="0093096E">
        <w:rPr>
          <w:rFonts w:ascii="Arial" w:eastAsia="Times New Roman" w:hAnsi="Arial" w:cs="Arial"/>
          <w:sz w:val="24"/>
          <w:szCs w:val="24"/>
          <w:lang w:eastAsia="pt-BR"/>
        </w:rPr>
        <w:t xml:space="preserve"> art. 921, §§ 4º e 5º, todos do Código de Processo Civil de 2015, e art. 205 do Código Civil de 2002.</w:t>
      </w:r>
    </w:p>
    <w:p w:rsidR="0093096E" w:rsidRPr="0093096E" w:rsidRDefault="0093096E" w:rsidP="00344321">
      <w:pPr>
        <w:spacing w:after="0" w:line="360" w:lineRule="auto"/>
        <w:jc w:val="both"/>
        <w:rPr>
          <w:rFonts w:ascii="Arial" w:eastAsia="Times New Roman" w:hAnsi="Arial" w:cs="Arial"/>
          <w:sz w:val="24"/>
          <w:szCs w:val="24"/>
          <w:lang w:eastAsia="pt-BR"/>
        </w:rPr>
      </w:pPr>
      <w:r w:rsidRPr="0093096E">
        <w:rPr>
          <w:rFonts w:ascii="Arial" w:eastAsia="Times New Roman" w:hAnsi="Arial" w:cs="Arial"/>
          <w:sz w:val="24"/>
          <w:szCs w:val="24"/>
          <w:lang w:eastAsia="pt-BR"/>
        </w:rPr>
        <w:t>Em razão da sucumbência, condeno a parte autora ao pagamento das custas processuais remanescentes, se houver. Sem condenação em honorários advocatícios, uma vez que a parte ré não foi citada e não constituiu advogado nos autos.</w:t>
      </w:r>
    </w:p>
    <w:p w:rsidR="0093096E" w:rsidRPr="0093096E" w:rsidRDefault="0093096E" w:rsidP="00344321">
      <w:pPr>
        <w:spacing w:after="0" w:line="360" w:lineRule="auto"/>
        <w:jc w:val="both"/>
        <w:rPr>
          <w:rFonts w:ascii="Arial" w:eastAsia="Times New Roman" w:hAnsi="Arial" w:cs="Arial"/>
          <w:sz w:val="24"/>
          <w:szCs w:val="24"/>
          <w:lang w:eastAsia="pt-BR"/>
        </w:rPr>
      </w:pPr>
      <w:bookmarkStart w:id="0" w:name="_GoBack"/>
      <w:bookmarkEnd w:id="0"/>
      <w:r w:rsidRPr="0093096E">
        <w:rPr>
          <w:rFonts w:ascii="Arial" w:eastAsia="Times New Roman" w:hAnsi="Arial" w:cs="Arial"/>
          <w:sz w:val="24"/>
          <w:szCs w:val="24"/>
          <w:lang w:eastAsia="pt-BR"/>
        </w:rPr>
        <w:t>Publique-se. Intime-se. Após o trânsito em julgado, arquivem-se os autos com as baixas e anotações de estilo.</w:t>
      </w:r>
    </w:p>
    <w:p w:rsidR="00226EEF" w:rsidRPr="0093096E" w:rsidRDefault="00226EEF" w:rsidP="0093096E">
      <w:pPr>
        <w:spacing w:after="0" w:line="360" w:lineRule="auto"/>
        <w:jc w:val="both"/>
        <w:rPr>
          <w:rFonts w:ascii="Arial" w:hAnsi="Arial" w:cs="Arial"/>
          <w:sz w:val="24"/>
          <w:szCs w:val="24"/>
        </w:rPr>
      </w:pPr>
    </w:p>
    <w:sectPr w:rsidR="00226EEF" w:rsidRPr="009309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6E"/>
    <w:rsid w:val="00226EEF"/>
    <w:rsid w:val="00344321"/>
    <w:rsid w:val="0093096E"/>
    <w:rsid w:val="009314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86D6"/>
  <w15:chartTrackingRefBased/>
  <w15:docId w15:val="{7FCA73A4-4D4E-45A8-BA00-EBE08BF0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9309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93096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3096E"/>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93096E"/>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9309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30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8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3167</Words>
  <Characters>17107</Characters>
  <Application>Microsoft Office Word</Application>
  <DocSecurity>0</DocSecurity>
  <Lines>142</Lines>
  <Paragraphs>40</Paragraphs>
  <ScaleCrop>false</ScaleCrop>
  <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2026-07-03T16:05:00Z</dcterms:created>
  <dcterms:modified xsi:type="dcterms:W3CDTF">2026-07-03T16:17:00Z</dcterms:modified>
</cp:coreProperties>
</file>