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400"/>
        <w:jc w:val="center"/>
      </w:pPr>
      <w:r>
        <w:rPr>
          <w:b/>
          <w:bCs/>
          <w:color w:val="1F3864"/>
          <w:sz w:val="50"/>
          <w:szCs w:val="50"/>
        </w:rPr>
        <w:t xml:space="preserve">Solution Design Document</w:t>
      </w:r>
    </w:p>
    <w:p>
      <w:pPr>
        <w:spacing w:after="260"/>
        <w:jc w:val="center"/>
      </w:pPr>
      <w:r>
        <w:rPr>
          <w:color w:val="2E5496"/>
          <w:sz w:val="30"/>
          <w:szCs w:val="30"/>
        </w:rPr>
        <w:t xml:space="preserve">Creditum — Corporate Lending Credit Origination Platform</w:t>
      </w:r>
    </w:p>
    <w:p>
      <w:pPr>
        <w:spacing w:after="80"/>
        <w:jc w:val="center"/>
      </w:pPr>
      <w:r>
        <w:rPr>
          <w:i/>
          <w:iCs/>
          <w:color w:val="595959"/>
          <w:sz w:val="22"/>
          <w:szCs w:val="22"/>
        </w:rPr>
        <w:t xml:space="preserve">Multi-Jurisdiction, Multi-Institution, Configuration-First Design</w:t>
      </w:r>
    </w:p>
    <w:p>
      <w:pPr>
        <w:spacing w:after="60" w:before="800"/>
        <w:jc w:val="center"/>
      </w:pPr>
      <w:r>
        <w:rPr>
          <w:color w:val="595959"/>
          <w:sz w:val="20"/>
          <w:szCs w:val="20"/>
        </w:rPr>
        <w:t xml:space="preserve">Version 0.14 (Working Draft)</w:t>
      </w:r>
    </w:p>
    <w:p>
      <w:pPr>
        <w:spacing w:after="60"/>
        <w:jc w:val="center"/>
      </w:pPr>
      <w:r>
        <w:rPr>
          <w:color w:val="595959"/>
          <w:sz w:val="20"/>
          <w:szCs w:val="20"/>
        </w:rPr>
        <w:t xml:space="preserve">Prepared 22 October 2026</w:t>
      </w:r>
    </w:p>
    <w:p>
      <w:pPr>
        <w:spacing w:after="400"/>
        <w:jc w:val="center"/>
      </w:pPr>
      <w:r>
        <w:rPr>
          <w:color w:val="595959"/>
          <w:sz w:val="20"/>
          <w:szCs w:val="20"/>
        </w:rPr>
        <w:t xml:space="preserve">Integrata (integratatech.ai)</w:t>
      </w:r>
    </w:p>
    <w:p>
      <w:r>
        <w:br w:type="page"/>
      </w:r>
    </w:p>
    <w:p>
      <w:pPr>
        <w:pStyle w:val="Heading1"/>
        <w:spacing w:after="200" w:before="400"/>
      </w:pPr>
      <w:r>
        <w:rPr>
          <w:b/>
          <w:bCs/>
          <w:color w:val="1F3864"/>
          <w:sz w:val="32"/>
          <w:szCs w:val="32"/>
        </w:rPr>
        <w:t xml:space="preserve">Document Control</w:t>
      </w:r>
    </w:p>
    <w:p>
      <w:pPr>
        <w:pStyle w:val="Heading2"/>
        <w:keepNext/>
        <w:spacing w:after="140" w:before="320"/>
      </w:pPr>
      <w:r>
        <w:rPr>
          <w:b/>
          <w:bCs/>
          <w:color w:val="2E5496"/>
          <w:sz w:val="26"/>
          <w:szCs w:val="26"/>
        </w:rPr>
        <w:t xml:space="preserve">Purpose of This Document</w:t>
      </w:r>
    </w:p>
    <w:p>
      <w:pPr>
        <w:spacing w:after="160"/>
      </w:pPr>
      <w:r>
        <w:rPr>
          <w:sz w:val="21"/>
          <w:szCs w:val="21"/>
        </w:rPr>
        <w:t xml:space="preserve">This is a reusable Solution Design Document (SDD) template and starting data model for a generic, configurable corporate lending credit origination platform, named Creditum (Latin creditum: ‘a thing entrusted; a loan’, from credere, ‘to trust’). It is written to serve any bank or NBFC, across jurisdictions, rather than one institution's specific implementation.</w:t>
      </w:r>
    </w:p>
    <w:p>
      <w:pPr>
        <w:spacing w:after="160"/>
      </w:pPr>
      <w:r>
        <w:rPr>
          <w:sz w:val="21"/>
          <w:szCs w:val="21"/>
        </w:rPr>
        <w:t xml:space="preserve">It was built after a detailed, field-level BA engagement on a specific bank's (NBK) Domestic Credit Request system — reviewing an 877-field data dictionary, a Solution Design Document, and raising a structured set of validation, calculation, and clarification findings against it. This document deliberately generalizes the reusable patterns from that engagement (the credit lifecycle shape, the facility/collateral/pricing data model, the Request-Type-conditional validation pattern) while converting everything that was institution-specific or jurisdiction-specific (regulatory thresholds, committee names, core banking system names, currency) into explicit configuration points instead of hardcoded assumptions.</w:t>
      </w:r>
    </w:p>
    <w:p>
      <w:pPr>
        <w:pStyle w:val="Heading2"/>
        <w:keepNext/>
        <w:spacing w:after="140" w:before="320"/>
      </w:pPr>
      <w:r>
        <w:rPr>
          <w:b/>
          <w:bCs/>
          <w:color w:val="2E5496"/>
          <w:sz w:val="26"/>
          <w:szCs w:val="26"/>
        </w:rPr>
        <w:t xml:space="preserve">Design Principles</w:t>
      </w:r>
    </w:p>
    <w:p>
      <w:pPr>
        <w:spacing w:after="160"/>
      </w:pPr>
      <w:r>
        <w:rPr>
          <w:sz w:val="21"/>
          <w:szCs w:val="21"/>
        </w:rPr>
        <w:t xml:space="preserve">This document — and anything built from it — follows the rules below, chosen specifically to avoid gaps found in the reference engagement:</w:t>
      </w:r>
    </w:p>
    <w:p>
      <w:pPr>
        <w:pStyle w:val="ListParagraph"/>
        <w:numPr>
          <w:ilvl w:val="0"/>
          <w:numId w:val="2"/>
        </w:numPr>
        <w:spacing w:after="80"/>
      </w:pPr>
      <w:r>
        <w:rPr>
          <w:sz w:val="21"/>
          <w:szCs w:val="21"/>
        </w:rPr>
        <w:t xml:space="preserve">Configuration over hardcoding. Anything that varies by institution or jurisdiction (approval hierarchy, exposure limits, currency, product catalog, core banking integrations) is a configuration table, never a fixed enum or hardcoded number.</w:t>
      </w:r>
    </w:p>
    <w:p>
      <w:pPr>
        <w:pStyle w:val="ListParagraph"/>
        <w:numPr>
          <w:ilvl w:val="0"/>
          <w:numId w:val="2"/>
        </w:numPr>
        <w:spacing w:after="80"/>
      </w:pPr>
      <w:r>
        <w:rPr>
          <w:sz w:val="21"/>
          <w:szCs w:val="21"/>
        </w:rPr>
        <w:t xml:space="preserve">Every conditional field states its trigger explicitly. “Field X is mandatory” is incomplete; the spec must say “mandatory when Request Type = Increase,” with no field left as a bare Integrated/Manual tag without a stated source or rule.</w:t>
      </w:r>
    </w:p>
    <w:p>
      <w:pPr>
        <w:pStyle w:val="ListParagraph"/>
        <w:numPr>
          <w:ilvl w:val="0"/>
          <w:numId w:val="2"/>
        </w:numPr>
        <w:spacing w:after="80"/>
      </w:pPr>
      <w:r>
        <w:rPr>
          <w:sz w:val="21"/>
          <w:szCs w:val="21"/>
        </w:rPr>
        <w:t xml:space="preserve">Every abbreviation gets a glossary entry on first use. No workflow stage code, system name, or role code appears without an expansion in Appendix A.</w:t>
      </w:r>
    </w:p>
    <w:p>
      <w:pPr>
        <w:pStyle w:val="ListParagraph"/>
        <w:numPr>
          <w:ilvl w:val="0"/>
          <w:numId w:val="2"/>
        </w:numPr>
        <w:spacing w:after="80"/>
      </w:pPr>
      <w:r>
        <w:rPr>
          <w:sz w:val="21"/>
          <w:szCs w:val="21"/>
        </w:rPr>
        <w:t xml:space="preserve">Every calculated or derived field states its formula or its source system — never just “System-calculated” or “Integrated” with no further detail.</w:t>
      </w:r>
    </w:p>
    <w:p>
      <w:pPr>
        <w:pStyle w:val="ListParagraph"/>
        <w:numPr>
          <w:ilvl w:val="0"/>
          <w:numId w:val="2"/>
        </w:numPr>
        <w:spacing w:after="80"/>
      </w:pPr>
      <w:r>
        <w:rPr>
          <w:sz w:val="21"/>
          <w:szCs w:val="21"/>
        </w:rPr>
        <w:t xml:space="preserve">The core engine is jurisdiction-agnostic; jurisdiction-specific rules (single obligor limits, connected-lending rules, large-exposure reporting) live entirely in a configuration layer described in Section 9.</w:t>
      </w:r>
    </w:p>
    <w:p>
      <w:pPr>
        <w:pStyle w:val="ListParagraph"/>
        <w:numPr>
          <w:ilvl w:val="0"/>
          <w:numId w:val="2"/>
        </w:numPr>
        <w:spacing w:after="80"/>
      </w:pPr>
      <w:r>
        <w:rPr>
          <w:sz w:val="21"/>
          <w:szCs w:val="21"/>
        </w:rPr>
        <w:t xml:space="preserve">Configuration is low-code by default. The schema described in Section 19 is a backend data model, not an end-user interface — every field, rule, and workflow it supports must also be reachable through a visual builder (Section 20) that a bank's own Business Analyst or IT administrator can operate without writing code or filing a developer ticket for routine changes.</w:t>
      </w:r>
    </w:p>
    <w:p>
      <w:pPr>
        <w:pStyle w:val="ListParagraph"/>
        <w:numPr>
          <w:ilvl w:val="0"/>
          <w:numId w:val="2"/>
        </w:numPr>
        <w:spacing w:after="80"/>
      </w:pPr>
      <w:r>
        <w:rPr>
          <w:b/>
          <w:bCs/>
          <w:sz w:val="21"/>
          <w:szCs w:val="21"/>
        </w:rPr>
        <w:t xml:space="preserve">Industry-standard product, not a client build.</w:t>
      </w:r>
      <w:r>
        <w:rPr>
          <w:sz w:val="21"/>
          <w:szCs w:val="21"/>
        </w:rPr>
        <w:t xml:space="preserve"> Creditum’s core contains only industry-standard fields, rules, and validations. The reference engagement is an input the design is checked against, not its source: anything that reflects one institution’s own preference becomes sample tenant configuration, never core product behaviour.</w:t>
      </w:r>
    </w:p>
    <w:p>
      <w:pPr>
        <w:pStyle w:val="ListParagraph"/>
        <w:numPr>
          <w:ilvl w:val="0"/>
          <w:numId w:val="2"/>
        </w:numPr>
        <w:spacing w:after="80"/>
      </w:pPr>
      <w:r>
        <w:rPr>
          <w:b/>
          <w:bCs/>
          <w:sz w:val="21"/>
          <w:szCs w:val="21"/>
        </w:rPr>
        <w:t xml:space="preserve">Nothing hardcoded — enforced, not just stated.</w:t>
      </w:r>
      <w:r>
        <w:rPr>
          <w:sz w:val="21"/>
          <w:szCs w:val="21"/>
        </w:rPr>
        <w:t xml:space="preserve"> No currency code, currency symbol, exposure limit, ratio threshold, approval amount, tolerance, or retention period appears as a literal in application code. Every such value is read from tenant configuration (Section 18), and an automated build check rejects any change that introduces one (Section 25.4).</w:t>
      </w:r>
    </w:p>
    <w:p>
      <w:pPr>
        <w:pStyle w:val="ListParagraph"/>
        <w:numPr>
          <w:ilvl w:val="0"/>
          <w:numId w:val="2"/>
        </w:numPr>
        <w:spacing w:after="80"/>
      </w:pPr>
      <w:r>
        <w:rPr>
          <w:b/>
          <w:bCs/>
          <w:sz w:val="21"/>
          <w:szCs w:val="21"/>
        </w:rPr>
        <w:t xml:space="preserve">Secure, auditable, and integrity-safe from the first commit.</w:t>
      </w:r>
      <w:r>
        <w:rPr>
          <w:sz w:val="21"/>
          <w:szCs w:val="21"/>
        </w:rPr>
        <w:t xml:space="preserve"> Security, audit-trail, and data-integrity controls (Section 26) are part of the foundation build, not a hardening exercise before a bank’s audit or penetration test.</w:t>
      </w:r>
    </w:p>
    <w:p>
      <w:pPr>
        <w:pStyle w:val="Heading2"/>
        <w:keepNext/>
        <w:spacing w:after="140" w:before="320"/>
      </w:pPr>
      <w:r>
        <w:rPr>
          <w:b/>
          <w:bCs/>
          <w:color w:val="2E5496"/>
          <w:sz w:val="26"/>
          <w:szCs w:val="26"/>
        </w:rPr>
        <w:t xml:space="preserve">Revision Log</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500"/>
        <w:gridCol w:w="4300"/>
      </w:tblGrid>
      <w:tr>
        <w:trPr>
          <w:tblHeader/>
        </w:trPr>
        <w:tc>
          <w:tcPr>
            <w:tcW w:type="dxa" w:w="1500"/>
            <w:shd w:fill="1F3864" w:val="clear"/>
            <w:tcMar>
              <w:top w:type="dxa" w:w="60"/>
              <w:left w:type="dxa" w:w="80"/>
              <w:bottom w:type="dxa" w:w="60"/>
              <w:right w:type="dxa" w:w="80"/>
            </w:tcMar>
          </w:tcPr>
          <w:p>
            <w:r>
              <w:rPr>
                <w:b/>
                <w:bCs/>
                <w:color w:val="FFFFFF"/>
                <w:sz w:val="19"/>
                <w:szCs w:val="19"/>
              </w:rPr>
              <w:t xml:space="preserve">Version</w:t>
            </w:r>
          </w:p>
        </w:tc>
        <w:tc>
          <w:tcPr>
            <w:tcW w:type="dxa" w:w="2000"/>
            <w:shd w:fill="1F3864" w:val="clear"/>
            <w:tcMar>
              <w:top w:type="dxa" w:w="60"/>
              <w:left w:type="dxa" w:w="80"/>
              <w:bottom w:type="dxa" w:w="60"/>
              <w:right w:type="dxa" w:w="80"/>
            </w:tcMar>
          </w:tcPr>
          <w:p>
            <w:r>
              <w:rPr>
                <w:b/>
                <w:bCs/>
                <w:color w:val="FFFFFF"/>
                <w:sz w:val="19"/>
                <w:szCs w:val="19"/>
              </w:rPr>
              <w:t xml:space="preserve">Date</w:t>
            </w:r>
          </w:p>
        </w:tc>
        <w:tc>
          <w:tcPr>
            <w:tcW w:type="dxa" w:w="2500"/>
            <w:shd w:fill="1F3864" w:val="clear"/>
            <w:tcMar>
              <w:top w:type="dxa" w:w="60"/>
              <w:left w:type="dxa" w:w="80"/>
              <w:bottom w:type="dxa" w:w="60"/>
              <w:right w:type="dxa" w:w="80"/>
            </w:tcMar>
          </w:tcPr>
          <w:p>
            <w:r>
              <w:rPr>
                <w:b/>
                <w:bCs/>
                <w:color w:val="FFFFFF"/>
                <w:sz w:val="19"/>
                <w:szCs w:val="19"/>
              </w:rPr>
              <w:t xml:space="preserve">Author</w:t>
            </w:r>
          </w:p>
        </w:tc>
        <w:tc>
          <w:tcPr>
            <w:tcW w:type="dxa" w:w="4300"/>
            <w:shd w:fill="1F3864" w:val="clear"/>
            <w:tcMar>
              <w:top w:type="dxa" w:w="60"/>
              <w:left w:type="dxa" w:w="80"/>
              <w:bottom w:type="dxa" w:w="60"/>
              <w:right w:type="dxa" w:w="80"/>
            </w:tcMar>
          </w:tcPr>
          <w:p>
            <w:r>
              <w:rPr>
                <w:b/>
                <w:bCs/>
                <w:color w:val="FFFFFF"/>
                <w:sz w:val="19"/>
                <w:szCs w:val="19"/>
              </w:rPr>
              <w:t xml:space="preserve">Description</w:t>
            </w:r>
          </w:p>
        </w:tc>
      </w:tr>
      <w:tr>
        <w:tc>
          <w:tcPr>
            <w:tcW w:type="dxa" w:w="1500"/>
            <w:shd w:fill="FFFFFF" w:val="clear"/>
            <w:tcMar>
              <w:top w:type="dxa" w:w="60"/>
              <w:left w:type="dxa" w:w="80"/>
              <w:bottom w:type="dxa" w:w="60"/>
              <w:right w:type="dxa" w:w="80"/>
            </w:tcMar>
          </w:tcPr>
          <w:p>
            <w:r>
              <w:rPr>
                <w:sz w:val="19"/>
                <w:szCs w:val="19"/>
              </w:rPr>
              <w:t xml:space="preserve">0.1</w:t>
            </w:r>
          </w:p>
        </w:tc>
        <w:tc>
          <w:tcPr>
            <w:tcW w:type="dxa" w:w="2000"/>
            <w:shd w:fill="FFFFFF" w:val="clear"/>
            <w:tcMar>
              <w:top w:type="dxa" w:w="60"/>
              <w:left w:type="dxa" w:w="80"/>
              <w:bottom w:type="dxa" w:w="60"/>
              <w:right w:type="dxa" w:w="80"/>
            </w:tcMar>
          </w:tcPr>
          <w:p>
            <w:r>
              <w:rPr>
                <w:sz w:val="19"/>
                <w:szCs w:val="19"/>
              </w:rPr>
              <w:t xml:space="preserve">22-Oct-2026</w:t>
            </w:r>
          </w:p>
        </w:tc>
        <w:tc>
          <w:tcPr>
            <w:tcW w:type="dxa" w:w="2500"/>
            <w:shd w:fill="FFFFFF" w:val="clear"/>
            <w:tcMar>
              <w:top w:type="dxa" w:w="60"/>
              <w:left w:type="dxa" w:w="80"/>
              <w:bottom w:type="dxa" w:w="60"/>
              <w:right w:type="dxa" w:w="80"/>
            </w:tcMar>
          </w:tcPr>
          <w:p>
            <w:r>
              <w:rPr>
                <w:sz w:val="19"/>
                <w:szCs w:val="19"/>
              </w:rPr>
              <w:t xml:space="preserve">Working Draft</w:t>
            </w:r>
          </w:p>
        </w:tc>
        <w:tc>
          <w:tcPr>
            <w:tcW w:type="dxa" w:w="4300"/>
            <w:shd w:fill="FFFFFF" w:val="clear"/>
            <w:tcMar>
              <w:top w:type="dxa" w:w="60"/>
              <w:left w:type="dxa" w:w="80"/>
              <w:bottom w:type="dxa" w:w="60"/>
              <w:right w:type="dxa" w:w="80"/>
            </w:tcMar>
          </w:tcPr>
          <w:p>
            <w:r>
              <w:rPr>
                <w:sz w:val="19"/>
                <w:szCs w:val="19"/>
              </w:rPr>
              <w:t xml:space="preserve">Initial generic scaffold, derived from NBK DCR engagement patterns</w:t>
            </w:r>
          </w:p>
        </w:tc>
      </w:tr>
      <w:tr>
        <w:tc>
          <w:tcPr>
            <w:tcW w:type="dxa" w:w="1500"/>
            <w:shd w:fill="DCE6F1" w:val="clear"/>
            <w:tcMar>
              <w:top w:type="dxa" w:w="60"/>
              <w:left w:type="dxa" w:w="80"/>
              <w:bottom w:type="dxa" w:w="60"/>
              <w:right w:type="dxa" w:w="80"/>
            </w:tcMar>
          </w:tcPr>
          <w:p>
            <w:r>
              <w:rPr>
                <w:sz w:val="19"/>
                <w:szCs w:val="19"/>
              </w:rPr>
              <w:t xml:space="preserve">0.2</w:t>
            </w:r>
          </w:p>
        </w:tc>
        <w:tc>
          <w:tcPr>
            <w:tcW w:type="dxa" w:w="2000"/>
            <w:shd w:fill="DCE6F1" w:val="clear"/>
            <w:tcMar>
              <w:top w:type="dxa" w:w="60"/>
              <w:left w:type="dxa" w:w="80"/>
              <w:bottom w:type="dxa" w:w="60"/>
              <w:right w:type="dxa" w:w="80"/>
            </w:tcMar>
          </w:tcPr>
          <w:p>
            <w:r>
              <w:rPr>
                <w:sz w:val="19"/>
                <w:szCs w:val="19"/>
              </w:rPr>
              <w:t xml:space="preserve">22-Oct-2026</w:t>
            </w:r>
          </w:p>
        </w:tc>
        <w:tc>
          <w:tcPr>
            <w:tcW w:type="dxa" w:w="2500"/>
            <w:shd w:fill="DCE6F1" w:val="clear"/>
            <w:tcMar>
              <w:top w:type="dxa" w:w="60"/>
              <w:left w:type="dxa" w:w="80"/>
              <w:bottom w:type="dxa" w:w="60"/>
              <w:right w:type="dxa" w:w="80"/>
            </w:tcMar>
          </w:tcPr>
          <w:p>
            <w:r>
              <w:rPr>
                <w:sz w:val="19"/>
                <w:szCs w:val="19"/>
              </w:rPr>
              <w:t xml:space="preserve">Working Draft</w:t>
            </w:r>
          </w:p>
        </w:tc>
        <w:tc>
          <w:tcPr>
            <w:tcW w:type="dxa" w:w="4300"/>
            <w:shd w:fill="DCE6F1" w:val="clear"/>
            <w:tcMar>
              <w:top w:type="dxa" w:w="60"/>
              <w:left w:type="dxa" w:w="80"/>
              <w:bottom w:type="dxa" w:w="60"/>
              <w:right w:type="dxa" w:w="80"/>
            </w:tcMar>
          </w:tcPr>
          <w:p>
            <w:r>
              <w:rPr>
                <w:sz w:val="19"/>
                <w:szCs w:val="19"/>
              </w:rPr>
              <w:t xml:space="preserve">Added Sections 13–17 (Repayment Schedule Builder, Record Versioning Pattern, Task Worklist &amp; Reassignment, Credit Bureau Integration Schema, Relationship-Based Pricing, Project/Contract Finance Module) and closed the Group Total Limit definition in Section 7.2, based on a full review of the reference engagement's supporting worksheets</w:t>
            </w:r>
          </w:p>
        </w:tc>
      </w:tr>
      <w:tr>
        <w:tc>
          <w:tcPr>
            <w:tcW w:type="dxa" w:w="1500"/>
            <w:shd w:fill="FFFFFF" w:val="clear"/>
            <w:tcMar>
              <w:top w:type="dxa" w:w="60"/>
              <w:left w:type="dxa" w:w="80"/>
              <w:bottom w:type="dxa" w:w="60"/>
              <w:right w:type="dxa" w:w="80"/>
            </w:tcMar>
          </w:tcPr>
          <w:p>
            <w:r>
              <w:rPr>
                <w:sz w:val="19"/>
                <w:szCs w:val="19"/>
              </w:rPr>
              <w:t xml:space="preserve">0.3</w:t>
            </w:r>
          </w:p>
        </w:tc>
        <w:tc>
          <w:tcPr>
            <w:tcW w:type="dxa" w:w="2000"/>
            <w:shd w:fill="FFFFFF" w:val="clear"/>
            <w:tcMar>
              <w:top w:type="dxa" w:w="60"/>
              <w:left w:type="dxa" w:w="80"/>
              <w:bottom w:type="dxa" w:w="60"/>
              <w:right w:type="dxa" w:w="80"/>
            </w:tcMar>
          </w:tcPr>
          <w:p>
            <w:r>
              <w:rPr>
                <w:sz w:val="19"/>
                <w:szCs w:val="19"/>
              </w:rPr>
              <w:t xml:space="preserve">22-Oct-2026</w:t>
            </w:r>
          </w:p>
        </w:tc>
        <w:tc>
          <w:tcPr>
            <w:tcW w:type="dxa" w:w="2500"/>
            <w:shd w:fill="FFFFFF" w:val="clear"/>
            <w:tcMar>
              <w:top w:type="dxa" w:w="60"/>
              <w:left w:type="dxa" w:w="80"/>
              <w:bottom w:type="dxa" w:w="60"/>
              <w:right w:type="dxa" w:w="80"/>
            </w:tcMar>
          </w:tcPr>
          <w:p>
            <w:r>
              <w:rPr>
                <w:sz w:val="19"/>
                <w:szCs w:val="19"/>
              </w:rPr>
              <w:t xml:space="preserve">Working Draft</w:t>
            </w:r>
          </w:p>
        </w:tc>
        <w:tc>
          <w:tcPr>
            <w:tcW w:type="dxa" w:w="4300"/>
            <w:shd w:fill="FFFFFF" w:val="clear"/>
            <w:tcMar>
              <w:top w:type="dxa" w:w="60"/>
              <w:left w:type="dxa" w:w="80"/>
              <w:bottom w:type="dxa" w:w="60"/>
              <w:right w:type="dxa" w:w="80"/>
            </w:tcMar>
          </w:tcPr>
          <w:p>
            <w:r>
              <w:rPr>
                <w:sz w:val="19"/>
                <w:szCs w:val="19"/>
              </w:rPr>
              <w:t xml:space="preserve">Added Section 18 (Configuration Requirements Register), consolidating every configurable item referenced elsewhere in the document into one master, implementation-ready checklist; Appendix B now points to it instead of duplicating it</w:t>
            </w:r>
          </w:p>
        </w:tc>
      </w:tr>
      <w:tr>
        <w:tc>
          <w:tcPr>
            <w:tcW w:type="dxa" w:w="1500"/>
            <w:shd w:fill="DCE6F1" w:val="clear"/>
            <w:tcMar>
              <w:top w:type="dxa" w:w="60"/>
              <w:left w:type="dxa" w:w="80"/>
              <w:bottom w:type="dxa" w:w="60"/>
              <w:right w:type="dxa" w:w="80"/>
            </w:tcMar>
          </w:tcPr>
          <w:p>
            <w:r>
              <w:rPr>
                <w:sz w:val="19"/>
                <w:szCs w:val="19"/>
              </w:rPr>
              <w:t xml:space="preserve">0.4</w:t>
            </w:r>
          </w:p>
        </w:tc>
        <w:tc>
          <w:tcPr>
            <w:tcW w:type="dxa" w:w="2000"/>
            <w:shd w:fill="DCE6F1" w:val="clear"/>
            <w:tcMar>
              <w:top w:type="dxa" w:w="60"/>
              <w:left w:type="dxa" w:w="80"/>
              <w:bottom w:type="dxa" w:w="60"/>
              <w:right w:type="dxa" w:w="80"/>
            </w:tcMar>
          </w:tcPr>
          <w:p>
            <w:r>
              <w:rPr>
                <w:sz w:val="19"/>
                <w:szCs w:val="19"/>
              </w:rPr>
              <w:t xml:space="preserve">22-Oct-2026</w:t>
            </w:r>
          </w:p>
        </w:tc>
        <w:tc>
          <w:tcPr>
            <w:tcW w:type="dxa" w:w="2500"/>
            <w:shd w:fill="DCE6F1" w:val="clear"/>
            <w:tcMar>
              <w:top w:type="dxa" w:w="60"/>
              <w:left w:type="dxa" w:w="80"/>
              <w:bottom w:type="dxa" w:w="60"/>
              <w:right w:type="dxa" w:w="80"/>
            </w:tcMar>
          </w:tcPr>
          <w:p>
            <w:r>
              <w:rPr>
                <w:sz w:val="19"/>
                <w:szCs w:val="19"/>
              </w:rPr>
              <w:t xml:space="preserve">Working Draft</w:t>
            </w:r>
          </w:p>
        </w:tc>
        <w:tc>
          <w:tcPr>
            <w:tcW w:type="dxa" w:w="4300"/>
            <w:shd w:fill="DCE6F1" w:val="clear"/>
            <w:tcMar>
              <w:top w:type="dxa" w:w="60"/>
              <w:left w:type="dxa" w:w="80"/>
              <w:bottom w:type="dxa" w:w="60"/>
              <w:right w:type="dxa" w:w="80"/>
            </w:tcMar>
          </w:tcPr>
          <w:p>
            <w:r>
              <w:rPr>
                <w:sz w:val="19"/>
                <w:szCs w:val="19"/>
              </w:rPr>
              <w:t xml:space="preserve">Added Section 19 (Platform Architecture: Configuration Engine Design) — the dev-ready mechanism (field registry, rules engine, workflow designer, tenant governance) that actually makes Section 18's configuration items configurable without code changes, plus a worked example onboarding NBK as Tenant #1</w:t>
            </w:r>
          </w:p>
        </w:tc>
      </w:tr>
      <w:tr>
        <w:tc>
          <w:tcPr>
            <w:tcW w:type="dxa" w:w="1500"/>
            <w:shd w:fill="FFFFFF" w:val="clear"/>
            <w:tcMar>
              <w:top w:type="dxa" w:w="60"/>
              <w:left w:type="dxa" w:w="80"/>
              <w:bottom w:type="dxa" w:w="60"/>
              <w:right w:type="dxa" w:w="80"/>
            </w:tcMar>
          </w:tcPr>
          <w:p>
            <w:r>
              <w:rPr>
                <w:sz w:val="19"/>
                <w:szCs w:val="19"/>
              </w:rPr>
              <w:t xml:space="preserve">0.5</w:t>
            </w:r>
          </w:p>
        </w:tc>
        <w:tc>
          <w:tcPr>
            <w:tcW w:type="dxa" w:w="2000"/>
            <w:shd w:fill="FFFFFF" w:val="clear"/>
            <w:tcMar>
              <w:top w:type="dxa" w:w="60"/>
              <w:left w:type="dxa" w:w="80"/>
              <w:bottom w:type="dxa" w:w="60"/>
              <w:right w:type="dxa" w:w="80"/>
            </w:tcMar>
          </w:tcPr>
          <w:p>
            <w:r>
              <w:rPr>
                <w:sz w:val="19"/>
                <w:szCs w:val="19"/>
              </w:rPr>
              <w:t xml:space="preserve">22-Oct-2026</w:t>
            </w:r>
          </w:p>
        </w:tc>
        <w:tc>
          <w:tcPr>
            <w:tcW w:type="dxa" w:w="2500"/>
            <w:shd w:fill="FFFFFF" w:val="clear"/>
            <w:tcMar>
              <w:top w:type="dxa" w:w="60"/>
              <w:left w:type="dxa" w:w="80"/>
              <w:bottom w:type="dxa" w:w="60"/>
              <w:right w:type="dxa" w:w="80"/>
            </w:tcMar>
          </w:tcPr>
          <w:p>
            <w:r>
              <w:rPr>
                <w:sz w:val="19"/>
                <w:szCs w:val="19"/>
              </w:rPr>
              <w:t xml:space="preserve">Working Draft</w:t>
            </w:r>
          </w:p>
        </w:tc>
        <w:tc>
          <w:tcPr>
            <w:tcW w:type="dxa" w:w="4300"/>
            <w:shd w:fill="FFFFFF" w:val="clear"/>
            <w:tcMar>
              <w:top w:type="dxa" w:w="60"/>
              <w:left w:type="dxa" w:w="80"/>
              <w:bottom w:type="dxa" w:w="60"/>
              <w:right w:type="dxa" w:w="80"/>
            </w:tcMar>
          </w:tcPr>
          <w:p>
            <w:r>
              <w:rPr>
                <w:sz w:val="19"/>
                <w:szCs w:val="19"/>
              </w:rPr>
              <w:t xml:space="preserve">Added Section 20 (Low-Code Administration &amp; Bank Self-Sufficiency) — the visual tooling layer (field builder, rule builder, workflow designer, admin console) that puts Section 19's schema in the hands of a bank's own BA/IT staff without requiring a developer for routine changes, plus an honest statement of where pro-code still remains necessary</w:t>
            </w:r>
          </w:p>
        </w:tc>
      </w:tr>
      <w:tr>
        <w:tc>
          <w:tcPr>
            <w:tcW w:type="dxa" w:w="1500"/>
            <w:shd w:fill="DCE6F1" w:val="clear"/>
            <w:tcMar>
              <w:top w:type="dxa" w:w="60"/>
              <w:left w:type="dxa" w:w="80"/>
              <w:bottom w:type="dxa" w:w="60"/>
              <w:right w:type="dxa" w:w="80"/>
            </w:tcMar>
          </w:tcPr>
          <w:p>
            <w:r>
              <w:rPr>
                <w:sz w:val="19"/>
                <w:szCs w:val="19"/>
              </w:rPr>
              <w:t xml:space="preserve">0.6</w:t>
            </w:r>
          </w:p>
        </w:tc>
        <w:tc>
          <w:tcPr>
            <w:tcW w:type="dxa" w:w="2000"/>
            <w:shd w:fill="DCE6F1" w:val="clear"/>
            <w:tcMar>
              <w:top w:type="dxa" w:w="60"/>
              <w:left w:type="dxa" w:w="80"/>
              <w:bottom w:type="dxa" w:w="60"/>
              <w:right w:type="dxa" w:w="80"/>
            </w:tcMar>
          </w:tcPr>
          <w:p>
            <w:r>
              <w:rPr>
                <w:sz w:val="19"/>
                <w:szCs w:val="19"/>
              </w:rPr>
              <w:t xml:space="preserve">22-Oct-2026</w:t>
            </w:r>
          </w:p>
        </w:tc>
        <w:tc>
          <w:tcPr>
            <w:tcW w:type="dxa" w:w="2500"/>
            <w:shd w:fill="DCE6F1" w:val="clear"/>
            <w:tcMar>
              <w:top w:type="dxa" w:w="60"/>
              <w:left w:type="dxa" w:w="80"/>
              <w:bottom w:type="dxa" w:w="60"/>
              <w:right w:type="dxa" w:w="80"/>
            </w:tcMar>
          </w:tcPr>
          <w:p>
            <w:r>
              <w:rPr>
                <w:sz w:val="19"/>
                <w:szCs w:val="19"/>
              </w:rPr>
              <w:t xml:space="preserve">Working Draft</w:t>
            </w:r>
          </w:p>
        </w:tc>
        <w:tc>
          <w:tcPr>
            <w:tcW w:type="dxa" w:w="4300"/>
            <w:shd w:fill="DCE6F1" w:val="clear"/>
            <w:tcMar>
              <w:top w:type="dxa" w:w="60"/>
              <w:left w:type="dxa" w:w="80"/>
              <w:bottom w:type="dxa" w:w="60"/>
              <w:right w:type="dxa" w:w="80"/>
            </w:tcMar>
          </w:tcPr>
          <w:p>
            <w:r>
              <w:rPr>
                <w:sz w:val="19"/>
                <w:szCs w:val="19"/>
              </w:rPr>
              <w:t xml:space="preserve">Added an explicit ‘Low-Code, Not No-Code’ callout at the top of Section 20, and added Section 21 (AI-Enabled Advisory Chat) — a conversational, read-only insight layer over the platform's own DCR data, with the governance guardrails a regulated credit context requires (citation discipline, RBAC-scoped answers, human-in-the-loop, full audit logging)</w:t>
            </w:r>
          </w:p>
        </w:tc>
      </w:tr>
      <w:tr>
        <w:tc>
          <w:tcPr>
            <w:tcW w:type="dxa" w:w="1500"/>
            <w:shd w:fill="FFFFFF" w:val="clear"/>
            <w:tcMar>
              <w:top w:type="dxa" w:w="60"/>
              <w:left w:type="dxa" w:w="80"/>
              <w:bottom w:type="dxa" w:w="60"/>
              <w:right w:type="dxa" w:w="80"/>
            </w:tcMar>
          </w:tcPr>
          <w:p>
            <w:r>
              <w:rPr>
                <w:sz w:val="19"/>
                <w:szCs w:val="19"/>
              </w:rPr>
              <w:t xml:space="preserve">0.7</w:t>
            </w:r>
          </w:p>
        </w:tc>
        <w:tc>
          <w:tcPr>
            <w:tcW w:type="dxa" w:w="2000"/>
            <w:shd w:fill="FFFFFF" w:val="clear"/>
            <w:tcMar>
              <w:top w:type="dxa" w:w="60"/>
              <w:left w:type="dxa" w:w="80"/>
              <w:bottom w:type="dxa" w:w="60"/>
              <w:right w:type="dxa" w:w="80"/>
            </w:tcMar>
          </w:tcPr>
          <w:p>
            <w:r>
              <w:rPr>
                <w:sz w:val="19"/>
                <w:szCs w:val="19"/>
              </w:rPr>
              <w:t xml:space="preserve">22-Oct-2026</w:t>
            </w:r>
          </w:p>
        </w:tc>
        <w:tc>
          <w:tcPr>
            <w:tcW w:type="dxa" w:w="2500"/>
            <w:shd w:fill="FFFFFF" w:val="clear"/>
            <w:tcMar>
              <w:top w:type="dxa" w:w="60"/>
              <w:left w:type="dxa" w:w="80"/>
              <w:bottom w:type="dxa" w:w="60"/>
              <w:right w:type="dxa" w:w="80"/>
            </w:tcMar>
          </w:tcPr>
          <w:p>
            <w:r>
              <w:rPr>
                <w:sz w:val="19"/>
                <w:szCs w:val="19"/>
              </w:rPr>
              <w:t xml:space="preserve">Working Draft</w:t>
            </w:r>
          </w:p>
        </w:tc>
        <w:tc>
          <w:tcPr>
            <w:tcW w:type="dxa" w:w="4300"/>
            <w:shd w:fill="FFFFFF" w:val="clear"/>
            <w:tcMar>
              <w:top w:type="dxa" w:w="60"/>
              <w:left w:type="dxa" w:w="80"/>
              <w:bottom w:type="dxa" w:w="60"/>
              <w:right w:type="dxa" w:w="80"/>
            </w:tcMar>
          </w:tcPr>
          <w:p>
            <w:r>
              <w:rPr>
                <w:sz w:val="19"/>
                <w:szCs w:val="19"/>
              </w:rPr>
              <w:t xml:space="preserve">Added Rich Text as a first-class Field Registry data type (Section 19.1), generalizing NBK's 'MS Word-comparable comment fields' requirement as a standards-based rich-text editor capability — explicitly scoped to exclude embedding the actual Word/Office application, which would reintroduce a hardcoded vendor dependency</w:t>
            </w:r>
          </w:p>
        </w:tc>
      </w:tr>
      <w:tr>
        <w:tc>
          <w:tcPr>
            <w:tcW w:type="dxa" w:w="1500"/>
            <w:shd w:fill="DCE6F1" w:val="clear"/>
            <w:tcMar>
              <w:top w:type="dxa" w:w="60"/>
              <w:left w:type="dxa" w:w="80"/>
              <w:bottom w:type="dxa" w:w="60"/>
              <w:right w:type="dxa" w:w="80"/>
            </w:tcMar>
          </w:tcPr>
          <w:p>
            <w:r>
              <w:rPr>
                <w:sz w:val="19"/>
                <w:szCs w:val="19"/>
              </w:rPr>
              <w:t xml:space="preserve">0.8</w:t>
            </w:r>
          </w:p>
        </w:tc>
        <w:tc>
          <w:tcPr>
            <w:tcW w:type="dxa" w:w="2000"/>
            <w:shd w:fill="DCE6F1" w:val="clear"/>
            <w:tcMar>
              <w:top w:type="dxa" w:w="60"/>
              <w:left w:type="dxa" w:w="80"/>
              <w:bottom w:type="dxa" w:w="60"/>
              <w:right w:type="dxa" w:w="80"/>
            </w:tcMar>
          </w:tcPr>
          <w:p>
            <w:r>
              <w:rPr>
                <w:sz w:val="19"/>
                <w:szCs w:val="19"/>
              </w:rPr>
              <w:t xml:space="preserve">22-Oct-2026</w:t>
            </w:r>
          </w:p>
        </w:tc>
        <w:tc>
          <w:tcPr>
            <w:tcW w:type="dxa" w:w="2500"/>
            <w:shd w:fill="DCE6F1" w:val="clear"/>
            <w:tcMar>
              <w:top w:type="dxa" w:w="60"/>
              <w:left w:type="dxa" w:w="80"/>
              <w:bottom w:type="dxa" w:w="60"/>
              <w:right w:type="dxa" w:w="80"/>
            </w:tcMar>
          </w:tcPr>
          <w:p>
            <w:r>
              <w:rPr>
                <w:sz w:val="19"/>
                <w:szCs w:val="19"/>
              </w:rPr>
              <w:t xml:space="preserve">Working Draft</w:t>
            </w:r>
          </w:p>
        </w:tc>
        <w:tc>
          <w:tcPr>
            <w:tcW w:type="dxa" w:w="4300"/>
            <w:shd w:fill="DCE6F1" w:val="clear"/>
            <w:tcMar>
              <w:top w:type="dxa" w:w="60"/>
              <w:left w:type="dxa" w:w="80"/>
              <w:bottom w:type="dxa" w:w="60"/>
              <w:right w:type="dxa" w:w="80"/>
            </w:tcMar>
          </w:tcPr>
          <w:p>
            <w:r>
              <w:rPr>
                <w:sz w:val="19"/>
                <w:szCs w:val="19"/>
              </w:rPr>
              <w:t xml:space="preserve">Added Section 22 (User Management &amp; Identity Integration) — user lifecycle, authentication (SSO/SAML/OIDC/LDAP), authorization (AD group-to-role mapping, SCIM provisioning), and governance (deprovisioning SLA, access recertification); added an Identity Provider Adapter and Document Management Adapter to Section 11.1; added Section 18.7 User Management &amp; Identity Configuration; resolved a task-delegation item the reference engagement itself left open</w:t>
            </w:r>
          </w:p>
        </w:tc>
      </w:tr>
      <w:tr>
        <w:tc>
          <w:tcPr>
            <w:tcW w:type="dxa" w:w="1500"/>
            <w:shd w:fill="FFFFFF" w:val="clear"/>
            <w:tcMar>
              <w:top w:type="dxa" w:w="60"/>
              <w:left w:type="dxa" w:w="80"/>
              <w:bottom w:type="dxa" w:w="60"/>
              <w:right w:type="dxa" w:w="80"/>
            </w:tcMar>
          </w:tcPr>
          <w:p>
            <w:r>
              <w:rPr>
                <w:sz w:val="19"/>
                <w:szCs w:val="19"/>
              </w:rPr>
              <w:t xml:space="preserve">0.9</w:t>
            </w:r>
          </w:p>
        </w:tc>
        <w:tc>
          <w:tcPr>
            <w:tcW w:type="dxa" w:w="2000"/>
            <w:shd w:fill="FFFFFF" w:val="clear"/>
            <w:tcMar>
              <w:top w:type="dxa" w:w="60"/>
              <w:left w:type="dxa" w:w="80"/>
              <w:bottom w:type="dxa" w:w="60"/>
              <w:right w:type="dxa" w:w="80"/>
            </w:tcMar>
          </w:tcPr>
          <w:p>
            <w:r>
              <w:rPr>
                <w:sz w:val="19"/>
                <w:szCs w:val="19"/>
              </w:rPr>
              <w:t xml:space="preserve">22-Oct-2026</w:t>
            </w:r>
          </w:p>
        </w:tc>
        <w:tc>
          <w:tcPr>
            <w:tcW w:type="dxa" w:w="2500"/>
            <w:shd w:fill="FFFFFF" w:val="clear"/>
            <w:tcMar>
              <w:top w:type="dxa" w:w="60"/>
              <w:left w:type="dxa" w:w="80"/>
              <w:bottom w:type="dxa" w:w="60"/>
              <w:right w:type="dxa" w:w="80"/>
            </w:tcMar>
          </w:tcPr>
          <w:p>
            <w:r>
              <w:rPr>
                <w:sz w:val="19"/>
                <w:szCs w:val="19"/>
              </w:rPr>
              <w:t xml:space="preserve">Working Draft</w:t>
            </w:r>
          </w:p>
        </w:tc>
        <w:tc>
          <w:tcPr>
            <w:tcW w:type="dxa" w:w="4300"/>
            <w:shd w:fill="FFFFFF" w:val="clear"/>
            <w:tcMar>
              <w:top w:type="dxa" w:w="60"/>
              <w:left w:type="dxa" w:w="80"/>
              <w:bottom w:type="dxa" w:w="60"/>
              <w:right w:type="dxa" w:w="80"/>
            </w:tcMar>
          </w:tcPr>
          <w:p>
            <w:r>
              <w:rPr>
                <w:sz w:val="19"/>
                <w:szCs w:val="19"/>
              </w:rPr>
              <w:t xml:space="preserve">Promoted Covenant Monitoring from a data field to a first-class process (Section 23) — a full state machine (Scheduled/Due/Tested/Met/Breached/Waiver/Cure/Event of Default) built on the existing Workflow Designer and Rules Engine; added a scheduled_date_reached trigger type to the Rules Engine (Section 19.2) and a scheduler/batch component to Non-Functional Requirements (Section 12), since this is the first time-based (not user-action-triggered) process in the document; added Section 18.8 Covenant Monitoring Configuration; closes the 'Breached status with no system action' gap found in the reference engagement</w:t>
            </w:r>
          </w:p>
        </w:tc>
      </w:tr>
      <w:tr>
        <w:tc>
          <w:tcPr>
            <w:tcW w:type="dxa" w:w="1500"/>
            <w:shd w:fill="DCE6F1" w:val="clear"/>
            <w:tcMar>
              <w:top w:type="dxa" w:w="60"/>
              <w:left w:type="dxa" w:w="80"/>
              <w:bottom w:type="dxa" w:w="60"/>
              <w:right w:type="dxa" w:w="80"/>
            </w:tcMar>
          </w:tcPr>
          <w:p>
            <w:r>
              <w:rPr>
                <w:sz w:val="19"/>
                <w:szCs w:val="19"/>
              </w:rPr>
              <w:t xml:space="preserve">0.10</w:t>
            </w:r>
          </w:p>
        </w:tc>
        <w:tc>
          <w:tcPr>
            <w:tcW w:type="dxa" w:w="2000"/>
            <w:shd w:fill="DCE6F1" w:val="clear"/>
            <w:tcMar>
              <w:top w:type="dxa" w:w="60"/>
              <w:left w:type="dxa" w:w="80"/>
              <w:bottom w:type="dxa" w:w="60"/>
              <w:right w:type="dxa" w:w="80"/>
            </w:tcMar>
          </w:tcPr>
          <w:p>
            <w:r>
              <w:rPr>
                <w:sz w:val="19"/>
                <w:szCs w:val="19"/>
              </w:rPr>
              <w:t xml:space="preserve">22-Oct-2026</w:t>
            </w:r>
          </w:p>
        </w:tc>
        <w:tc>
          <w:tcPr>
            <w:tcW w:type="dxa" w:w="2500"/>
            <w:shd w:fill="DCE6F1" w:val="clear"/>
            <w:tcMar>
              <w:top w:type="dxa" w:w="60"/>
              <w:left w:type="dxa" w:w="80"/>
              <w:bottom w:type="dxa" w:w="60"/>
              <w:right w:type="dxa" w:w="80"/>
            </w:tcMar>
          </w:tcPr>
          <w:p>
            <w:r>
              <w:rPr>
                <w:sz w:val="19"/>
                <w:szCs w:val="19"/>
              </w:rPr>
              <w:t xml:space="preserve">Working Draft</w:t>
            </w:r>
          </w:p>
        </w:tc>
        <w:tc>
          <w:tcPr>
            <w:tcW w:type="dxa" w:w="4300"/>
            <w:shd w:fill="DCE6F1" w:val="clear"/>
            <w:tcMar>
              <w:top w:type="dxa" w:w="60"/>
              <w:left w:type="dxa" w:w="80"/>
              <w:bottom w:type="dxa" w:w="60"/>
              <w:right w:type="dxa" w:w="80"/>
            </w:tcMar>
          </w:tcPr>
          <w:p>
            <w:r>
              <w:rPr>
                <w:sz w:val="19"/>
                <w:szCs w:val="19"/>
              </w:rPr>
              <w:t xml:space="preserve">Added Section 19.6 (Database Portability) with an explicit 'DB-Flexible, Not DB-Agnostic-From-Day-One' callout, matching the honesty standard set by the Low-Code/No-Code distinction — names the JSON-extension-column portability risk specifically and recommends one reference engine plus three build-discipline rules rather than claiming zero-effort portability</w:t>
            </w:r>
          </w:p>
        </w:tc>
      </w:tr>
      <w:tr>
        <w:tc>
          <w:tcPr>
            <w:tcW w:type="dxa" w:w="1500"/>
            <w:shd w:fill="FFFFFF" w:val="clear"/>
            <w:tcMar>
              <w:top w:type="dxa" w:w="60"/>
              <w:left w:type="dxa" w:w="80"/>
              <w:bottom w:type="dxa" w:w="60"/>
              <w:right w:type="dxa" w:w="80"/>
            </w:tcMar>
          </w:tcPr>
          <w:p>
            <w:r>
              <w:rPr>
                <w:sz w:val="19"/>
                <w:szCs w:val="19"/>
              </w:rPr>
              <w:t xml:space="preserve">0.11</w:t>
            </w:r>
          </w:p>
        </w:tc>
        <w:tc>
          <w:tcPr>
            <w:tcW w:type="dxa" w:w="2000"/>
            <w:shd w:fill="FFFFFF" w:val="clear"/>
            <w:tcMar>
              <w:top w:type="dxa" w:w="60"/>
              <w:left w:type="dxa" w:w="80"/>
              <w:bottom w:type="dxa" w:w="60"/>
              <w:right w:type="dxa" w:w="80"/>
            </w:tcMar>
          </w:tcPr>
          <w:p>
            <w:r>
              <w:rPr>
                <w:sz w:val="19"/>
                <w:szCs w:val="19"/>
              </w:rPr>
              <w:t xml:space="preserve">22-Oct-2026</w:t>
            </w:r>
          </w:p>
        </w:tc>
        <w:tc>
          <w:tcPr>
            <w:tcW w:type="dxa" w:w="2500"/>
            <w:shd w:fill="FFFFFF" w:val="clear"/>
            <w:tcMar>
              <w:top w:type="dxa" w:w="60"/>
              <w:left w:type="dxa" w:w="80"/>
              <w:bottom w:type="dxa" w:w="60"/>
              <w:right w:type="dxa" w:w="80"/>
            </w:tcMar>
          </w:tcPr>
          <w:p>
            <w:r>
              <w:rPr>
                <w:sz w:val="19"/>
                <w:szCs w:val="19"/>
              </w:rPr>
              <w:t xml:space="preserve">Working Draft</w:t>
            </w:r>
          </w:p>
        </w:tc>
        <w:tc>
          <w:tcPr>
            <w:tcW w:type="dxa" w:w="4300"/>
            <w:shd w:fill="FFFFFF" w:val="clear"/>
            <w:tcMar>
              <w:top w:type="dxa" w:w="60"/>
              <w:left w:type="dxa" w:w="80"/>
              <w:bottom w:type="dxa" w:w="60"/>
              <w:right w:type="dxa" w:w="80"/>
            </w:tcMar>
          </w:tcPr>
          <w:p>
            <w:r>
              <w:rPr>
                <w:sz w:val="19"/>
                <w:szCs w:val="19"/>
              </w:rPr>
              <w:t xml:space="preserve">Added a Request Number Generation Scheme subsection under 19.1 — the request/case reference number is Calculated/system-populated, but its FORMAT (prefix, sequence scope, reset cadence, padding, separator, atomic uniqueness) is institution-specific and configurable, not fixed; added the corresponding configuration row to Section 18.2</w:t>
            </w:r>
          </w:p>
        </w:tc>
      </w:tr>
      <w:tr>
        <w:tc>
          <w:tcPr>
            <w:tcW w:type="dxa" w:w="1500"/>
            <w:shd w:fill="DCE6F1" w:val="clear"/>
            <w:tcMar>
              <w:top w:type="dxa" w:w="60"/>
              <w:left w:type="dxa" w:w="80"/>
              <w:bottom w:type="dxa" w:w="60"/>
              <w:right w:type="dxa" w:w="80"/>
            </w:tcMar>
          </w:tcPr>
          <w:p>
            <w:r>
              <w:rPr>
                <w:sz w:val="19"/>
                <w:szCs w:val="19"/>
              </w:rPr>
              <w:t xml:space="preserve">0.12</w:t>
            </w:r>
          </w:p>
        </w:tc>
        <w:tc>
          <w:tcPr>
            <w:tcW w:type="dxa" w:w="2000"/>
            <w:shd w:fill="DCE6F1" w:val="clear"/>
            <w:tcMar>
              <w:top w:type="dxa" w:w="60"/>
              <w:left w:type="dxa" w:w="80"/>
              <w:bottom w:type="dxa" w:w="60"/>
              <w:right w:type="dxa" w:w="80"/>
            </w:tcMar>
          </w:tcPr>
          <w:p>
            <w:r>
              <w:rPr>
                <w:sz w:val="19"/>
                <w:szCs w:val="19"/>
              </w:rPr>
              <w:t xml:space="preserve">22/10/2026</w:t>
            </w:r>
          </w:p>
        </w:tc>
        <w:tc>
          <w:tcPr>
            <w:tcW w:type="dxa" w:w="2500"/>
            <w:shd w:fill="DCE6F1" w:val="clear"/>
            <w:tcMar>
              <w:top w:type="dxa" w:w="60"/>
              <w:left w:type="dxa" w:w="80"/>
              <w:bottom w:type="dxa" w:w="60"/>
              <w:right w:type="dxa" w:w="80"/>
            </w:tcMar>
          </w:tcPr>
          <w:p>
            <w:r>
              <w:rPr>
                <w:sz w:val="19"/>
                <w:szCs w:val="19"/>
              </w:rPr>
              <w:t xml:space="preserve">Working Draft</w:t>
            </w:r>
          </w:p>
        </w:tc>
        <w:tc>
          <w:tcPr>
            <w:tcW w:type="dxa" w:w="4300"/>
            <w:shd w:fill="DCE6F1" w:val="clear"/>
            <w:tcMar>
              <w:top w:type="dxa" w:w="60"/>
              <w:left w:type="dxa" w:w="80"/>
              <w:bottom w:type="dxa" w:w="60"/>
              <w:right w:type="dxa" w:w="80"/>
            </w:tcMar>
          </w:tcPr>
          <w:p>
            <w:r>
              <w:rPr>
                <w:sz w:val="19"/>
                <w:szCs w:val="19"/>
              </w:rPr>
              <w:t xml:space="preserve">Added Section 24 (Deployment Strategy) — resolves the SaaS-economics-vs-banking-regulatory-reality tension with a 'Single-Tenant Deployment, Multi-Tenant-Capable Architecture' default, covering topology options, containerized hosting portability, the Code Release vs. Configuration Change two-track model, data residency, HA/DR, and tenant-isolated observability; added Section 18.9 Deployment &amp; Hosting Configuration; flags Packaging &amp; Implementation as a natural, distinct follow-on topic</w:t>
            </w:r>
          </w:p>
        </w:tc>
      </w:tr>
      <w:tr>
        <w:tc>
          <w:tcPr>
            <w:tcW w:type="dxa" w:w="1500"/>
            <w:shd w:fill="FFFFFF" w:val="clear"/>
            <w:tcMar>
              <w:top w:type="dxa" w:w="60"/>
              <w:left w:type="dxa" w:w="80"/>
              <w:bottom w:type="dxa" w:w="60"/>
              <w:right w:type="dxa" w:w="80"/>
            </w:tcMar>
          </w:tcPr>
          <w:p>
            <w:r>
              <w:rPr>
                <w:sz w:val="19"/>
                <w:szCs w:val="19"/>
              </w:rPr>
              <w:t xml:space="preserve">0.13</w:t>
            </w:r>
          </w:p>
        </w:tc>
        <w:tc>
          <w:tcPr>
            <w:tcW w:type="dxa" w:w="2000"/>
            <w:shd w:fill="FFFFFF" w:val="clear"/>
            <w:tcMar>
              <w:top w:type="dxa" w:w="60"/>
              <w:left w:type="dxa" w:w="80"/>
              <w:bottom w:type="dxa" w:w="60"/>
              <w:right w:type="dxa" w:w="80"/>
            </w:tcMar>
          </w:tcPr>
          <w:p>
            <w:r>
              <w:rPr>
                <w:sz w:val="19"/>
                <w:szCs w:val="19"/>
              </w:rPr>
              <w:t xml:space="preserve">22/10/2026</w:t>
            </w:r>
          </w:p>
        </w:tc>
        <w:tc>
          <w:tcPr>
            <w:tcW w:type="dxa" w:w="2500"/>
            <w:shd w:fill="FFFFFF" w:val="clear"/>
            <w:tcMar>
              <w:top w:type="dxa" w:w="60"/>
              <w:left w:type="dxa" w:w="80"/>
              <w:bottom w:type="dxa" w:w="60"/>
              <w:right w:type="dxa" w:w="80"/>
            </w:tcMar>
          </w:tcPr>
          <w:p>
            <w:r>
              <w:rPr>
                <w:sz w:val="19"/>
                <w:szCs w:val="19"/>
              </w:rPr>
              <w:t xml:space="preserve">Working Draft</w:t>
            </w:r>
          </w:p>
        </w:tc>
        <w:tc>
          <w:tcPr>
            <w:tcW w:type="dxa" w:w="4300"/>
            <w:shd w:fill="FFFFFF" w:val="clear"/>
            <w:tcMar>
              <w:top w:type="dxa" w:w="60"/>
              <w:left w:type="dxa" w:w="80"/>
              <w:bottom w:type="dxa" w:w="60"/>
              <w:right w:type="dxa" w:w="80"/>
            </w:tcMar>
          </w:tcPr>
          <w:p>
            <w:r>
              <w:rPr>
                <w:sz w:val="19"/>
                <w:szCs w:val="19"/>
              </w:rPr>
              <w:t xml:space="preserve">Named the platform Creditum (Latin creditum, ‘a thing entrusted; a loan’, from credere, ‘to trust’); replaced NBK’s ‘DCR’ with the generic ‘Credit Request’ in all field labels and user-facing examples (Credit Request Number, Credit Request Type, Related Credit Request, reference-number prefix ‘CR’); added Creditum and DCR to the Appendix A Glossary. Companion Field Matrix updated to match: 8 DCR-labelled fields reclassified from Industry-Standard to Rename-Only</w:t>
            </w:r>
          </w:p>
        </w:tc>
      </w:tr>
      <w:tr>
        <w:tc>
          <w:tcPr>
            <w:tcW w:type="dxa" w:w="1500"/>
            <w:shd w:fill="DCE6F1" w:val="clear"/>
            <w:tcMar>
              <w:top w:type="dxa" w:w="60"/>
              <w:left w:type="dxa" w:w="80"/>
              <w:bottom w:type="dxa" w:w="60"/>
              <w:right w:type="dxa" w:w="80"/>
            </w:tcMar>
          </w:tcPr>
          <w:p>
            <w:r>
              <w:rPr>
                <w:sz w:val="19"/>
                <w:szCs w:val="19"/>
              </w:rPr>
              <w:t xml:space="preserve">0.14</w:t>
            </w:r>
          </w:p>
        </w:tc>
        <w:tc>
          <w:tcPr>
            <w:tcW w:type="dxa" w:w="2000"/>
            <w:shd w:fill="DCE6F1" w:val="clear"/>
            <w:tcMar>
              <w:top w:type="dxa" w:w="60"/>
              <w:left w:type="dxa" w:w="80"/>
              <w:bottom w:type="dxa" w:w="60"/>
              <w:right w:type="dxa" w:w="80"/>
            </w:tcMar>
          </w:tcPr>
          <w:p>
            <w:r>
              <w:rPr>
                <w:sz w:val="19"/>
                <w:szCs w:val="19"/>
              </w:rPr>
              <w:t xml:space="preserve">22/10/2026</w:t>
            </w:r>
          </w:p>
        </w:tc>
        <w:tc>
          <w:tcPr>
            <w:tcW w:type="dxa" w:w="2500"/>
            <w:shd w:fill="DCE6F1" w:val="clear"/>
            <w:tcMar>
              <w:top w:type="dxa" w:w="60"/>
              <w:left w:type="dxa" w:w="80"/>
              <w:bottom w:type="dxa" w:w="60"/>
              <w:right w:type="dxa" w:w="80"/>
            </w:tcMar>
          </w:tcPr>
          <w:p>
            <w:r>
              <w:rPr>
                <w:sz w:val="19"/>
                <w:szCs w:val="19"/>
              </w:rPr>
              <w:t xml:space="preserve">Working Draft</w:t>
            </w:r>
          </w:p>
        </w:tc>
        <w:tc>
          <w:tcPr>
            <w:tcW w:type="dxa" w:w="4300"/>
            <w:shd w:fill="DCE6F1" w:val="clear"/>
            <w:tcMar>
              <w:top w:type="dxa" w:w="60"/>
              <w:left w:type="dxa" w:w="80"/>
              <w:bottom w:type="dxa" w:w="60"/>
              <w:right w:type="dxa" w:w="80"/>
            </w:tcMar>
          </w:tcPr>
          <w:p>
            <w:r>
              <w:rPr>
                <w:sz w:val="19"/>
                <w:szCs w:val="19"/>
              </w:rPr>
              <w:t xml:space="preserve">Established Creditum as an industry-standard product (reference engagement is a check, not the source) and added the enforced no-hardcoding principle; rewrote 19.5 around fictional reference tenants XYZ Bank (Tenant #1) and ABC Finance with the Two-Tenant Test; resolved the 19.6 portability risk (typed attribute-value extension table instead of JSON/JSONB; PostgreSQL, SQL Server and Oracle tested on every build) and corrected field counts to 712/24/31; added Section 25 (Technology Stack &amp; Engineering Guardrails), Section 26 (Security, Audit &amp; Data Integrity), and Section 27 (Build Strategy &amp; Phasing); extended the Glossary</w:t>
            </w:r>
          </w:p>
        </w:tc>
      </w:tr>
    </w:tbl>
    <w:p>
      <w:pPr>
        <w:pStyle w:val="Heading1"/>
        <w:pageBreakBefore/>
        <w:spacing w:after="200" w:before="400"/>
      </w:pPr>
      <w:r>
        <w:rPr>
          <w:b/>
          <w:bCs/>
          <w:color w:val="1F3864"/>
          <w:sz w:val="32"/>
          <w:szCs w:val="32"/>
        </w:rPr>
        <w:t xml:space="preserve">1. Introduction</w:t>
      </w:r>
    </w:p>
    <w:p>
      <w:pPr>
        <w:pStyle w:val="Heading2"/>
        <w:keepNext/>
        <w:spacing w:after="140" w:before="320"/>
      </w:pPr>
      <w:r>
        <w:rPr>
          <w:b/>
          <w:bCs/>
          <w:color w:val="2E5496"/>
          <w:sz w:val="26"/>
          <w:szCs w:val="26"/>
        </w:rPr>
        <w:t xml:space="preserve">1.1 Purpose</w:t>
      </w:r>
    </w:p>
    <w:p>
      <w:pPr>
        <w:spacing w:after="160"/>
      </w:pPr>
      <w:r>
        <w:rPr>
          <w:sz w:val="21"/>
          <w:szCs w:val="21"/>
        </w:rPr>
        <w:t xml:space="preserve">To define a reusable solution design for a corporate/SME credit origination platform that can be configured for a specific bank or NBFC, rather than redesigned for each new client.</w:t>
      </w:r>
    </w:p>
    <w:p>
      <w:pPr>
        <w:pStyle w:val="Heading2"/>
        <w:keepNext/>
        <w:spacing w:after="140" w:before="320"/>
      </w:pPr>
      <w:r>
        <w:rPr>
          <w:b/>
          <w:bCs/>
          <w:color w:val="2E5496"/>
          <w:sz w:val="26"/>
          <w:szCs w:val="26"/>
        </w:rPr>
        <w:t xml:space="preserve">1.2 Objectives</w:t>
      </w:r>
    </w:p>
    <w:p>
      <w:pPr>
        <w:pStyle w:val="ListParagraph"/>
        <w:numPr>
          <w:ilvl w:val="0"/>
          <w:numId w:val="2"/>
        </w:numPr>
        <w:spacing w:after="80"/>
      </w:pPr>
      <w:r>
        <w:rPr>
          <w:sz w:val="21"/>
          <w:szCs w:val="21"/>
        </w:rPr>
        <w:t xml:space="preserve">Reduce implementation time per client by separating a fixed core engine from a configuration layer.</w:t>
      </w:r>
    </w:p>
    <w:p>
      <w:pPr>
        <w:pStyle w:val="ListParagraph"/>
        <w:numPr>
          <w:ilvl w:val="0"/>
          <w:numId w:val="2"/>
        </w:numPr>
        <w:spacing w:after="80"/>
      </w:pPr>
      <w:r>
        <w:rPr>
          <w:sz w:val="21"/>
          <w:szCs w:val="21"/>
        </w:rPr>
        <w:t xml:space="preserve">Avoid specification ambiguity (undefined codes, missing formulas, inconsistent field rules) by requiring every field and workflow rule to be fully specified before build.</w:t>
      </w:r>
    </w:p>
    <w:p>
      <w:pPr>
        <w:pStyle w:val="ListParagraph"/>
        <w:numPr>
          <w:ilvl w:val="0"/>
          <w:numId w:val="2"/>
        </w:numPr>
        <w:spacing w:after="80"/>
      </w:pPr>
      <w:r>
        <w:rPr>
          <w:sz w:val="21"/>
          <w:szCs w:val="21"/>
        </w:rPr>
        <w:t xml:space="preserve">Support multiple jurisdictions and regulatory regimes without code changes.</w:t>
      </w:r>
    </w:p>
    <w:p>
      <w:pPr>
        <w:pStyle w:val="ListParagraph"/>
        <w:numPr>
          <w:ilvl w:val="0"/>
          <w:numId w:val="2"/>
        </w:numPr>
        <w:spacing w:after="80"/>
      </w:pPr>
      <w:r>
        <w:rPr>
          <w:sz w:val="21"/>
          <w:szCs w:val="21"/>
        </w:rPr>
        <w:t xml:space="preserve">Provide a credible, demonstrable AI-augmentation layer (financial spreading, credit memo drafting, covenant monitoring) on top of the core workflow engine.</w:t>
      </w:r>
    </w:p>
    <w:p>
      <w:pPr>
        <w:pStyle w:val="Heading2"/>
        <w:keepNext/>
        <w:spacing w:after="140" w:before="320"/>
      </w:pPr>
      <w:r>
        <w:rPr>
          <w:b/>
          <w:bCs/>
          <w:color w:val="2E5496"/>
          <w:sz w:val="26"/>
          <w:szCs w:val="26"/>
        </w:rPr>
        <w:t xml:space="preserve">1.3 Scope</w:t>
      </w:r>
    </w:p>
    <w:p>
      <w:pPr>
        <w:pStyle w:val="Heading3"/>
        <w:keepNext/>
        <w:spacing w:after="100" w:before="220"/>
      </w:pPr>
      <w:r>
        <w:rPr>
          <w:b/>
          <w:bCs/>
          <w:color w:val="404040"/>
          <w:sz w:val="22"/>
          <w:szCs w:val="22"/>
        </w:rPr>
        <w:t xml:space="preserve">In Scope</w:t>
      </w:r>
    </w:p>
    <w:p>
      <w:pPr>
        <w:pStyle w:val="ListParagraph"/>
        <w:numPr>
          <w:ilvl w:val="0"/>
          <w:numId w:val="2"/>
        </w:numPr>
        <w:spacing w:after="80"/>
      </w:pPr>
      <w:r>
        <w:rPr>
          <w:sz w:val="21"/>
          <w:szCs w:val="21"/>
        </w:rPr>
        <w:t xml:space="preserve">Corporate/SME credit request origination, from initiation through committee approval, documentation, booking, and post-sanction monitoring.</w:t>
      </w:r>
    </w:p>
    <w:p>
      <w:pPr>
        <w:pStyle w:val="ListParagraph"/>
        <w:numPr>
          <w:ilvl w:val="0"/>
          <w:numId w:val="2"/>
        </w:numPr>
        <w:spacing w:after="80"/>
      </w:pPr>
      <w:r>
        <w:rPr>
          <w:sz w:val="21"/>
          <w:szCs w:val="21"/>
        </w:rPr>
        <w:t xml:space="preserve">Configurable facility, collateral, pricing, and covenant data model.</w:t>
      </w:r>
    </w:p>
    <w:p>
      <w:pPr>
        <w:pStyle w:val="ListParagraph"/>
        <w:numPr>
          <w:ilvl w:val="0"/>
          <w:numId w:val="2"/>
        </w:numPr>
        <w:spacing w:after="80"/>
      </w:pPr>
      <w:r>
        <w:rPr>
          <w:sz w:val="21"/>
          <w:szCs w:val="21"/>
        </w:rPr>
        <w:t xml:space="preserve">Configurable approval workflow and delegated authority matrix.</w:t>
      </w:r>
    </w:p>
    <w:p>
      <w:pPr>
        <w:pStyle w:val="ListParagraph"/>
        <w:numPr>
          <w:ilvl w:val="0"/>
          <w:numId w:val="2"/>
        </w:numPr>
        <w:spacing w:after="80"/>
      </w:pPr>
      <w:r>
        <w:rPr>
          <w:sz w:val="21"/>
          <w:szCs w:val="21"/>
        </w:rPr>
        <w:t xml:space="preserve">Configurable regulatory guardrails (exposure limits, connected lending).</w:t>
      </w:r>
    </w:p>
    <w:p>
      <w:pPr>
        <w:pStyle w:val="ListParagraph"/>
        <w:numPr>
          <w:ilvl w:val="0"/>
          <w:numId w:val="2"/>
        </w:numPr>
        <w:spacing w:after="80"/>
      </w:pPr>
      <w:r>
        <w:rPr>
          <w:sz w:val="21"/>
          <w:szCs w:val="21"/>
        </w:rPr>
        <w:t xml:space="preserve">Role-based dashboards and an integration adapter layer for core banking, credit bureau, and KYC/AML systems.</w:t>
      </w:r>
    </w:p>
    <w:p>
      <w:pPr>
        <w:pStyle w:val="Heading3"/>
        <w:keepNext/>
        <w:spacing w:after="100" w:before="220"/>
      </w:pPr>
      <w:r>
        <w:rPr>
          <w:b/>
          <w:bCs/>
          <w:color w:val="404040"/>
          <w:sz w:val="22"/>
          <w:szCs w:val="22"/>
        </w:rPr>
        <w:t xml:space="preserve">Out of Scope (This Version)</w:t>
      </w:r>
    </w:p>
    <w:p>
      <w:pPr>
        <w:pStyle w:val="ListParagraph"/>
        <w:numPr>
          <w:ilvl w:val="0"/>
          <w:numId w:val="2"/>
        </w:numPr>
        <w:spacing w:after="80"/>
      </w:pPr>
      <w:r>
        <w:rPr>
          <w:sz w:val="21"/>
          <w:szCs w:val="21"/>
        </w:rPr>
        <w:t xml:space="preserve">Retail/consumer lending.</w:t>
      </w:r>
    </w:p>
    <w:p>
      <w:pPr>
        <w:pStyle w:val="ListParagraph"/>
        <w:numPr>
          <w:ilvl w:val="0"/>
          <w:numId w:val="2"/>
        </w:numPr>
        <w:spacing w:after="80"/>
      </w:pPr>
      <w:r>
        <w:rPr>
          <w:sz w:val="21"/>
          <w:szCs w:val="21"/>
        </w:rPr>
        <w:t xml:space="preserve">Specific core banking system connectors (defined per-client during implementation, see Section 12).</w:t>
      </w:r>
    </w:p>
    <w:p>
      <w:pPr>
        <w:pStyle w:val="ListParagraph"/>
        <w:numPr>
          <w:ilvl w:val="0"/>
          <w:numId w:val="2"/>
        </w:numPr>
        <w:spacing w:after="80"/>
      </w:pPr>
      <w:r>
        <w:rPr>
          <w:sz w:val="21"/>
          <w:szCs w:val="21"/>
        </w:rPr>
        <w:t xml:space="preserve">Specific regulatory threshold values for any one jurisdiction (defined per-client configuration, see Section 9).</w:t>
      </w:r>
    </w:p>
    <w:p>
      <w:pPr>
        <w:pStyle w:val="Heading1"/>
        <w:pageBreakBefore/>
        <w:spacing w:after="200" w:before="400"/>
      </w:pPr>
      <w:r>
        <w:rPr>
          <w:b/>
          <w:bCs/>
          <w:color w:val="1F3864"/>
          <w:sz w:val="32"/>
          <w:szCs w:val="32"/>
        </w:rPr>
        <w:t xml:space="preserve">2. System Overview</w:t>
      </w:r>
    </w:p>
    <w:p>
      <w:pPr>
        <w:pStyle w:val="Heading2"/>
        <w:keepNext/>
        <w:spacing w:after="140" w:before="320"/>
      </w:pPr>
      <w:r>
        <w:rPr>
          <w:b/>
          <w:bCs/>
          <w:color w:val="2E5496"/>
          <w:sz w:val="26"/>
          <w:szCs w:val="26"/>
        </w:rPr>
        <w:t xml:space="preserve">2.1 Solution Summary</w:t>
      </w:r>
    </w:p>
    <w:p>
      <w:pPr>
        <w:spacing w:after="160"/>
      </w:pPr>
      <w:r>
        <w:rPr>
          <w:sz w:val="21"/>
          <w:szCs w:val="21"/>
        </w:rPr>
        <w:t xml:space="preserve">Creditum is a workflow-driven credit origination system built around a single Credit Request object (the generic equivalent of NBK’s “DCR”, Domestic Credit Request) that carries a borrower, one or more requested facilities, linked collateral, pricing, covenants, and supporting financial/ESG analysis through a configurable approval workflow to sanction, documentation, booking, and ongoing monitoring.</w:t>
      </w:r>
    </w:p>
    <w:p>
      <w:pPr>
        <w:pStyle w:val="Heading2"/>
        <w:keepNext/>
        <w:spacing w:after="140" w:before="320"/>
      </w:pPr>
      <w:r>
        <w:rPr>
          <w:b/>
          <w:bCs/>
          <w:color w:val="2E5496"/>
          <w:sz w:val="26"/>
          <w:szCs w:val="26"/>
        </w:rPr>
        <w:t xml:space="preserve">2.2 User Roles (Generic)</w:t>
      </w:r>
    </w:p>
    <w:p>
      <w:pPr>
        <w:spacing w:after="160"/>
      </w:pPr>
      <w:r>
        <w:rPr>
          <w:sz w:val="21"/>
          <w:szCs w:val="21"/>
        </w:rPr>
        <w:t xml:space="preserve">Role names are configurable labels; the functional categories below are expected to recur across institutions:</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1700"/>
        <w:gridCol w:w="2800"/>
        <w:gridCol w:w="3800"/>
      </w:tblGrid>
      <w:tr>
        <w:trPr>
          <w:tblHeader/>
        </w:trPr>
        <w:tc>
          <w:tcPr>
            <w:tcW w:type="dxa" w:w="1700"/>
            <w:shd w:fill="1F3864" w:val="clear"/>
            <w:tcMar>
              <w:top w:type="dxa" w:w="60"/>
              <w:left w:type="dxa" w:w="80"/>
              <w:bottom w:type="dxa" w:w="60"/>
              <w:right w:type="dxa" w:w="80"/>
            </w:tcMar>
          </w:tcPr>
          <w:p>
            <w:r>
              <w:rPr>
                <w:b/>
                <w:bCs/>
                <w:color w:val="FFFFFF"/>
                <w:sz w:val="19"/>
                <w:szCs w:val="19"/>
              </w:rPr>
              <w:t xml:space="preserve">Category</w:t>
            </w:r>
          </w:p>
        </w:tc>
        <w:tc>
          <w:tcPr>
            <w:tcW w:type="dxa" w:w="2800"/>
            <w:shd w:fill="1F3864" w:val="clear"/>
            <w:tcMar>
              <w:top w:type="dxa" w:w="60"/>
              <w:left w:type="dxa" w:w="80"/>
              <w:bottom w:type="dxa" w:w="60"/>
              <w:right w:type="dxa" w:w="80"/>
            </w:tcMar>
          </w:tcPr>
          <w:p>
            <w:r>
              <w:rPr>
                <w:b/>
                <w:bCs/>
                <w:color w:val="FFFFFF"/>
                <w:sz w:val="19"/>
                <w:szCs w:val="19"/>
              </w:rPr>
              <w:t xml:space="preserve">Generic Role</w:t>
            </w:r>
          </w:p>
        </w:tc>
        <w:tc>
          <w:tcPr>
            <w:tcW w:type="dxa" w:w="3800"/>
            <w:shd w:fill="1F3864" w:val="clear"/>
            <w:tcMar>
              <w:top w:type="dxa" w:w="60"/>
              <w:left w:type="dxa" w:w="80"/>
              <w:bottom w:type="dxa" w:w="60"/>
              <w:right w:type="dxa" w:w="80"/>
            </w:tcMar>
          </w:tcPr>
          <w:p>
            <w:r>
              <w:rPr>
                <w:b/>
                <w:bCs/>
                <w:color w:val="FFFFFF"/>
                <w:sz w:val="19"/>
                <w:szCs w:val="19"/>
              </w:rPr>
              <w:t xml:space="preserve">Function</w:t>
            </w:r>
          </w:p>
        </w:tc>
      </w:tr>
      <w:tr>
        <w:tc>
          <w:tcPr>
            <w:tcW w:type="dxa" w:w="1700"/>
            <w:shd w:fill="FFFFFF" w:val="clear"/>
            <w:tcMar>
              <w:top w:type="dxa" w:w="60"/>
              <w:left w:type="dxa" w:w="80"/>
              <w:bottom w:type="dxa" w:w="60"/>
              <w:right w:type="dxa" w:w="80"/>
            </w:tcMar>
          </w:tcPr>
          <w:p>
            <w:r>
              <w:rPr>
                <w:sz w:val="19"/>
                <w:szCs w:val="19"/>
              </w:rPr>
              <w:t xml:space="preserve">Origination</w:t>
            </w:r>
          </w:p>
        </w:tc>
        <w:tc>
          <w:tcPr>
            <w:tcW w:type="dxa" w:w="2800"/>
            <w:shd w:fill="FFFFFF" w:val="clear"/>
            <w:tcMar>
              <w:top w:type="dxa" w:w="60"/>
              <w:left w:type="dxa" w:w="80"/>
              <w:bottom w:type="dxa" w:w="60"/>
              <w:right w:type="dxa" w:w="80"/>
            </w:tcMar>
          </w:tcPr>
          <w:p>
            <w:r>
              <w:rPr>
                <w:sz w:val="19"/>
                <w:szCs w:val="19"/>
              </w:rPr>
              <w:t xml:space="preserve">Relationship Officer (RO)</w:t>
            </w:r>
          </w:p>
        </w:tc>
        <w:tc>
          <w:tcPr>
            <w:tcW w:type="dxa" w:w="3800"/>
            <w:shd w:fill="FFFFFF" w:val="clear"/>
            <w:tcMar>
              <w:top w:type="dxa" w:w="60"/>
              <w:left w:type="dxa" w:w="80"/>
              <w:bottom w:type="dxa" w:w="60"/>
              <w:right w:type="dxa" w:w="80"/>
            </w:tcMar>
          </w:tcPr>
          <w:p>
            <w:r>
              <w:rPr>
                <w:sz w:val="19"/>
                <w:szCs w:val="19"/>
              </w:rPr>
              <w:t xml:space="preserve">Initiates credit requests, owns the client relationship</w:t>
            </w:r>
          </w:p>
        </w:tc>
      </w:tr>
      <w:tr>
        <w:tc>
          <w:tcPr>
            <w:tcW w:type="dxa" w:w="1700"/>
            <w:shd w:fill="DCE6F1" w:val="clear"/>
            <w:tcMar>
              <w:top w:type="dxa" w:w="60"/>
              <w:left w:type="dxa" w:w="80"/>
              <w:bottom w:type="dxa" w:w="60"/>
              <w:right w:type="dxa" w:w="80"/>
            </w:tcMar>
          </w:tcPr>
          <w:p>
            <w:r>
              <w:rPr>
                <w:sz w:val="19"/>
                <w:szCs w:val="19"/>
              </w:rPr>
              <w:t xml:space="preserve">Origination</w:t>
            </w:r>
          </w:p>
        </w:tc>
        <w:tc>
          <w:tcPr>
            <w:tcW w:type="dxa" w:w="2800"/>
            <w:shd w:fill="DCE6F1" w:val="clear"/>
            <w:tcMar>
              <w:top w:type="dxa" w:w="60"/>
              <w:left w:type="dxa" w:w="80"/>
              <w:bottom w:type="dxa" w:w="60"/>
              <w:right w:type="dxa" w:w="80"/>
            </w:tcMar>
          </w:tcPr>
          <w:p>
            <w:r>
              <w:rPr>
                <w:sz w:val="19"/>
                <w:szCs w:val="19"/>
              </w:rPr>
              <w:t xml:space="preserve">Unit Head / Approver L1</w:t>
            </w:r>
          </w:p>
        </w:tc>
        <w:tc>
          <w:tcPr>
            <w:tcW w:type="dxa" w:w="3800"/>
            <w:shd w:fill="DCE6F1" w:val="clear"/>
            <w:tcMar>
              <w:top w:type="dxa" w:w="60"/>
              <w:left w:type="dxa" w:w="80"/>
              <w:bottom w:type="dxa" w:w="60"/>
              <w:right w:type="dxa" w:w="80"/>
            </w:tcMar>
          </w:tcPr>
          <w:p>
            <w:r>
              <w:rPr>
                <w:sz w:val="19"/>
                <w:szCs w:val="19"/>
              </w:rPr>
              <w:t xml:space="preserve">First-level approval, team oversight</w:t>
            </w:r>
          </w:p>
        </w:tc>
      </w:tr>
      <w:tr>
        <w:tc>
          <w:tcPr>
            <w:tcW w:type="dxa" w:w="1700"/>
            <w:shd w:fill="FFFFFF" w:val="clear"/>
            <w:tcMar>
              <w:top w:type="dxa" w:w="60"/>
              <w:left w:type="dxa" w:w="80"/>
              <w:bottom w:type="dxa" w:w="60"/>
              <w:right w:type="dxa" w:w="80"/>
            </w:tcMar>
          </w:tcPr>
          <w:p>
            <w:r>
              <w:rPr>
                <w:sz w:val="19"/>
                <w:szCs w:val="19"/>
              </w:rPr>
              <w:t xml:space="preserve">Origination</w:t>
            </w:r>
          </w:p>
        </w:tc>
        <w:tc>
          <w:tcPr>
            <w:tcW w:type="dxa" w:w="2800"/>
            <w:shd w:fill="FFFFFF" w:val="clear"/>
            <w:tcMar>
              <w:top w:type="dxa" w:w="60"/>
              <w:left w:type="dxa" w:w="80"/>
              <w:bottom w:type="dxa" w:w="60"/>
              <w:right w:type="dxa" w:w="80"/>
            </w:tcMar>
          </w:tcPr>
          <w:p>
            <w:r>
              <w:rPr>
                <w:sz w:val="19"/>
                <w:szCs w:val="19"/>
              </w:rPr>
              <w:t xml:space="preserve">Senior Approver (DGM/GM equivalent)</w:t>
            </w:r>
          </w:p>
        </w:tc>
        <w:tc>
          <w:tcPr>
            <w:tcW w:type="dxa" w:w="3800"/>
            <w:shd w:fill="FFFFFF" w:val="clear"/>
            <w:tcMar>
              <w:top w:type="dxa" w:w="60"/>
              <w:left w:type="dxa" w:w="80"/>
              <w:bottom w:type="dxa" w:w="60"/>
              <w:right w:type="dxa" w:w="80"/>
            </w:tcMar>
          </w:tcPr>
          <w:p>
            <w:r>
              <w:rPr>
                <w:sz w:val="19"/>
                <w:szCs w:val="19"/>
              </w:rPr>
              <w:t xml:space="preserve">Second-level approval</w:t>
            </w:r>
          </w:p>
        </w:tc>
      </w:tr>
      <w:tr>
        <w:tc>
          <w:tcPr>
            <w:tcW w:type="dxa" w:w="1700"/>
            <w:shd w:fill="DCE6F1" w:val="clear"/>
            <w:tcMar>
              <w:top w:type="dxa" w:w="60"/>
              <w:left w:type="dxa" w:w="80"/>
              <w:bottom w:type="dxa" w:w="60"/>
              <w:right w:type="dxa" w:w="80"/>
            </w:tcMar>
          </w:tcPr>
          <w:p>
            <w:r>
              <w:rPr>
                <w:sz w:val="19"/>
                <w:szCs w:val="19"/>
              </w:rPr>
              <w:t xml:space="preserve">Review</w:t>
            </w:r>
          </w:p>
        </w:tc>
        <w:tc>
          <w:tcPr>
            <w:tcW w:type="dxa" w:w="2800"/>
            <w:shd w:fill="DCE6F1" w:val="clear"/>
            <w:tcMar>
              <w:top w:type="dxa" w:w="60"/>
              <w:left w:type="dxa" w:w="80"/>
              <w:bottom w:type="dxa" w:w="60"/>
              <w:right w:type="dxa" w:w="80"/>
            </w:tcMar>
          </w:tcPr>
          <w:p>
            <w:r>
              <w:rPr>
                <w:sz w:val="19"/>
                <w:szCs w:val="19"/>
              </w:rPr>
              <w:t xml:space="preserve">Credit Reviewer</w:t>
            </w:r>
          </w:p>
        </w:tc>
        <w:tc>
          <w:tcPr>
            <w:tcW w:type="dxa" w:w="3800"/>
            <w:shd w:fill="DCE6F1" w:val="clear"/>
            <w:tcMar>
              <w:top w:type="dxa" w:w="60"/>
              <w:left w:type="dxa" w:w="80"/>
              <w:bottom w:type="dxa" w:w="60"/>
              <w:right w:type="dxa" w:w="80"/>
            </w:tcMar>
          </w:tcPr>
          <w:p>
            <w:r>
              <w:rPr>
                <w:sz w:val="19"/>
                <w:szCs w:val="19"/>
              </w:rPr>
              <w:t xml:space="preserve">Independent credit risk review, financial spreading sign-off</w:t>
            </w:r>
          </w:p>
        </w:tc>
      </w:tr>
      <w:tr>
        <w:tc>
          <w:tcPr>
            <w:tcW w:type="dxa" w:w="1700"/>
            <w:shd w:fill="FFFFFF" w:val="clear"/>
            <w:tcMar>
              <w:top w:type="dxa" w:w="60"/>
              <w:left w:type="dxa" w:w="80"/>
              <w:bottom w:type="dxa" w:w="60"/>
              <w:right w:type="dxa" w:w="80"/>
            </w:tcMar>
          </w:tcPr>
          <w:p>
            <w:r>
              <w:rPr>
                <w:sz w:val="19"/>
                <w:szCs w:val="19"/>
              </w:rPr>
              <w:t xml:space="preserve">Review</w:t>
            </w:r>
          </w:p>
        </w:tc>
        <w:tc>
          <w:tcPr>
            <w:tcW w:type="dxa" w:w="2800"/>
            <w:shd w:fill="FFFFFF" w:val="clear"/>
            <w:tcMar>
              <w:top w:type="dxa" w:w="60"/>
              <w:left w:type="dxa" w:w="80"/>
              <w:bottom w:type="dxa" w:w="60"/>
              <w:right w:type="dxa" w:w="80"/>
            </w:tcMar>
          </w:tcPr>
          <w:p>
            <w:r>
              <w:rPr>
                <w:sz w:val="19"/>
                <w:szCs w:val="19"/>
              </w:rPr>
              <w:t xml:space="preserve">Review Manager</w:t>
            </w:r>
          </w:p>
        </w:tc>
        <w:tc>
          <w:tcPr>
            <w:tcW w:type="dxa" w:w="3800"/>
            <w:shd w:fill="FFFFFF" w:val="clear"/>
            <w:tcMar>
              <w:top w:type="dxa" w:w="60"/>
              <w:left w:type="dxa" w:w="80"/>
              <w:bottom w:type="dxa" w:w="60"/>
              <w:right w:type="dxa" w:w="80"/>
            </w:tcMar>
          </w:tcPr>
          <w:p>
            <w:r>
              <w:rPr>
                <w:sz w:val="19"/>
                <w:szCs w:val="19"/>
              </w:rPr>
              <w:t xml:space="preserve">Oversees reviewer team, handles escalations/overlays</w:t>
            </w:r>
          </w:p>
        </w:tc>
      </w:tr>
      <w:tr>
        <w:tc>
          <w:tcPr>
            <w:tcW w:type="dxa" w:w="1700"/>
            <w:shd w:fill="DCE6F1" w:val="clear"/>
            <w:tcMar>
              <w:top w:type="dxa" w:w="60"/>
              <w:left w:type="dxa" w:w="80"/>
              <w:bottom w:type="dxa" w:w="60"/>
              <w:right w:type="dxa" w:w="80"/>
            </w:tcMar>
          </w:tcPr>
          <w:p>
            <w:r>
              <w:rPr>
                <w:sz w:val="19"/>
                <w:szCs w:val="19"/>
              </w:rPr>
              <w:t xml:space="preserve">Review</w:t>
            </w:r>
          </w:p>
        </w:tc>
        <w:tc>
          <w:tcPr>
            <w:tcW w:type="dxa" w:w="2800"/>
            <w:shd w:fill="DCE6F1" w:val="clear"/>
            <w:tcMar>
              <w:top w:type="dxa" w:w="60"/>
              <w:left w:type="dxa" w:w="80"/>
              <w:bottom w:type="dxa" w:w="60"/>
              <w:right w:type="dxa" w:w="80"/>
            </w:tcMar>
          </w:tcPr>
          <w:p>
            <w:r>
              <w:rPr>
                <w:sz w:val="19"/>
                <w:szCs w:val="19"/>
              </w:rPr>
              <w:t xml:space="preserve">Credit Risk Division Head</w:t>
            </w:r>
          </w:p>
        </w:tc>
        <w:tc>
          <w:tcPr>
            <w:tcW w:type="dxa" w:w="3800"/>
            <w:shd w:fill="DCE6F1" w:val="clear"/>
            <w:tcMar>
              <w:top w:type="dxa" w:w="60"/>
              <w:left w:type="dxa" w:w="80"/>
              <w:bottom w:type="dxa" w:w="60"/>
              <w:right w:type="dxa" w:w="80"/>
            </w:tcMar>
          </w:tcPr>
          <w:p>
            <w:r>
              <w:rPr>
                <w:sz w:val="19"/>
                <w:szCs w:val="19"/>
              </w:rPr>
              <w:t xml:space="preserve">Final pre-committee sign-off, portfolio-level oversight</w:t>
            </w:r>
          </w:p>
        </w:tc>
      </w:tr>
      <w:tr>
        <w:tc>
          <w:tcPr>
            <w:tcW w:type="dxa" w:w="1700"/>
            <w:shd w:fill="FFFFFF" w:val="clear"/>
            <w:tcMar>
              <w:top w:type="dxa" w:w="60"/>
              <w:left w:type="dxa" w:w="80"/>
              <w:bottom w:type="dxa" w:w="60"/>
              <w:right w:type="dxa" w:w="80"/>
            </w:tcMar>
          </w:tcPr>
          <w:p>
            <w:r>
              <w:rPr>
                <w:sz w:val="19"/>
                <w:szCs w:val="19"/>
              </w:rPr>
              <w:t xml:space="preserve">Decision</w:t>
            </w:r>
          </w:p>
        </w:tc>
        <w:tc>
          <w:tcPr>
            <w:tcW w:type="dxa" w:w="2800"/>
            <w:shd w:fill="FFFFFF" w:val="clear"/>
            <w:tcMar>
              <w:top w:type="dxa" w:w="60"/>
              <w:left w:type="dxa" w:w="80"/>
              <w:bottom w:type="dxa" w:w="60"/>
              <w:right w:type="dxa" w:w="80"/>
            </w:tcMar>
          </w:tcPr>
          <w:p>
            <w:r>
              <w:rPr>
                <w:sz w:val="19"/>
                <w:szCs w:val="19"/>
              </w:rPr>
              <w:t xml:space="preserve">Committee Voter</w:t>
            </w:r>
          </w:p>
        </w:tc>
        <w:tc>
          <w:tcPr>
            <w:tcW w:type="dxa" w:w="3800"/>
            <w:shd w:fill="FFFFFF" w:val="clear"/>
            <w:tcMar>
              <w:top w:type="dxa" w:w="60"/>
              <w:left w:type="dxa" w:w="80"/>
              <w:bottom w:type="dxa" w:w="60"/>
              <w:right w:type="dxa" w:w="80"/>
            </w:tcMar>
          </w:tcPr>
          <w:p>
            <w:r>
              <w:rPr>
                <w:sz w:val="19"/>
                <w:szCs w:val="19"/>
              </w:rPr>
              <w:t xml:space="preserve">Votes on credit proposals at the configured committee level</w:t>
            </w:r>
          </w:p>
        </w:tc>
      </w:tr>
      <w:tr>
        <w:tc>
          <w:tcPr>
            <w:tcW w:type="dxa" w:w="1700"/>
            <w:shd w:fill="DCE6F1" w:val="clear"/>
            <w:tcMar>
              <w:top w:type="dxa" w:w="60"/>
              <w:left w:type="dxa" w:w="80"/>
              <w:bottom w:type="dxa" w:w="60"/>
              <w:right w:type="dxa" w:w="80"/>
            </w:tcMar>
          </w:tcPr>
          <w:p>
            <w:r>
              <w:rPr>
                <w:sz w:val="19"/>
                <w:szCs w:val="19"/>
              </w:rPr>
              <w:t xml:space="preserve">Decision</w:t>
            </w:r>
          </w:p>
        </w:tc>
        <w:tc>
          <w:tcPr>
            <w:tcW w:type="dxa" w:w="2800"/>
            <w:shd w:fill="DCE6F1" w:val="clear"/>
            <w:tcMar>
              <w:top w:type="dxa" w:w="60"/>
              <w:left w:type="dxa" w:w="80"/>
              <w:bottom w:type="dxa" w:w="60"/>
              <w:right w:type="dxa" w:w="80"/>
            </w:tcMar>
          </w:tcPr>
          <w:p>
            <w:r>
              <w:rPr>
                <w:sz w:val="19"/>
                <w:szCs w:val="19"/>
              </w:rPr>
              <w:t xml:space="preserve">Committee Secretary</w:t>
            </w:r>
          </w:p>
        </w:tc>
        <w:tc>
          <w:tcPr>
            <w:tcW w:type="dxa" w:w="3800"/>
            <w:shd w:fill="DCE6F1" w:val="clear"/>
            <w:tcMar>
              <w:top w:type="dxa" w:w="60"/>
              <w:left w:type="dxa" w:w="80"/>
              <w:bottom w:type="dxa" w:w="60"/>
              <w:right w:type="dxa" w:w="80"/>
            </w:tcMar>
          </w:tcPr>
          <w:p>
            <w:r>
              <w:rPr>
                <w:sz w:val="19"/>
                <w:szCs w:val="19"/>
              </w:rPr>
              <w:t xml:space="preserve">Manages agenda, records votes, issues resolutions</w:t>
            </w:r>
          </w:p>
        </w:tc>
      </w:tr>
      <w:tr>
        <w:tc>
          <w:tcPr>
            <w:tcW w:type="dxa" w:w="1700"/>
            <w:shd w:fill="FFFFFF" w:val="clear"/>
            <w:tcMar>
              <w:top w:type="dxa" w:w="60"/>
              <w:left w:type="dxa" w:w="80"/>
              <w:bottom w:type="dxa" w:w="60"/>
              <w:right w:type="dxa" w:w="80"/>
            </w:tcMar>
          </w:tcPr>
          <w:p>
            <w:r>
              <w:rPr>
                <w:sz w:val="19"/>
                <w:szCs w:val="19"/>
              </w:rPr>
              <w:t xml:space="preserve">Implementation</w:t>
            </w:r>
          </w:p>
        </w:tc>
        <w:tc>
          <w:tcPr>
            <w:tcW w:type="dxa" w:w="2800"/>
            <w:shd w:fill="FFFFFF" w:val="clear"/>
            <w:tcMar>
              <w:top w:type="dxa" w:w="60"/>
              <w:left w:type="dxa" w:w="80"/>
              <w:bottom w:type="dxa" w:w="60"/>
              <w:right w:type="dxa" w:w="80"/>
            </w:tcMar>
          </w:tcPr>
          <w:p>
            <w:r>
              <w:rPr>
                <w:sz w:val="19"/>
                <w:szCs w:val="19"/>
              </w:rPr>
              <w:t xml:space="preserve">Documentation Specialist</w:t>
            </w:r>
          </w:p>
        </w:tc>
        <w:tc>
          <w:tcPr>
            <w:tcW w:type="dxa" w:w="3800"/>
            <w:shd w:fill="FFFFFF" w:val="clear"/>
            <w:tcMar>
              <w:top w:type="dxa" w:w="60"/>
              <w:left w:type="dxa" w:w="80"/>
              <w:bottom w:type="dxa" w:w="60"/>
              <w:right w:type="dxa" w:w="80"/>
            </w:tcMar>
          </w:tcPr>
          <w:p>
            <w:r>
              <w:rPr>
                <w:sz w:val="19"/>
                <w:szCs w:val="19"/>
              </w:rPr>
              <w:t xml:space="preserve">Prepares and tracks facility/security documentation</w:t>
            </w:r>
          </w:p>
        </w:tc>
      </w:tr>
      <w:tr>
        <w:tc>
          <w:tcPr>
            <w:tcW w:type="dxa" w:w="1700"/>
            <w:shd w:fill="DCE6F1" w:val="clear"/>
            <w:tcMar>
              <w:top w:type="dxa" w:w="60"/>
              <w:left w:type="dxa" w:w="80"/>
              <w:bottom w:type="dxa" w:w="60"/>
              <w:right w:type="dxa" w:w="80"/>
            </w:tcMar>
          </w:tcPr>
          <w:p>
            <w:r>
              <w:rPr>
                <w:sz w:val="19"/>
                <w:szCs w:val="19"/>
              </w:rPr>
              <w:t xml:space="preserve">Implementation</w:t>
            </w:r>
          </w:p>
        </w:tc>
        <w:tc>
          <w:tcPr>
            <w:tcW w:type="dxa" w:w="2800"/>
            <w:shd w:fill="DCE6F1" w:val="clear"/>
            <w:tcMar>
              <w:top w:type="dxa" w:w="60"/>
              <w:left w:type="dxa" w:w="80"/>
              <w:bottom w:type="dxa" w:w="60"/>
              <w:right w:type="dxa" w:w="80"/>
            </w:tcMar>
          </w:tcPr>
          <w:p>
            <w:r>
              <w:rPr>
                <w:sz w:val="19"/>
                <w:szCs w:val="19"/>
              </w:rPr>
              <w:t xml:space="preserve">Legal Specialist</w:t>
            </w:r>
          </w:p>
        </w:tc>
        <w:tc>
          <w:tcPr>
            <w:tcW w:type="dxa" w:w="3800"/>
            <w:shd w:fill="DCE6F1" w:val="clear"/>
            <w:tcMar>
              <w:top w:type="dxa" w:w="60"/>
              <w:left w:type="dxa" w:w="80"/>
              <w:bottom w:type="dxa" w:w="60"/>
              <w:right w:type="dxa" w:w="80"/>
            </w:tcMar>
          </w:tcPr>
          <w:p>
            <w:r>
              <w:rPr>
                <w:sz w:val="19"/>
                <w:szCs w:val="19"/>
              </w:rPr>
              <w:t xml:space="preserve">Legal review, collateral charge creation/release</w:t>
            </w:r>
          </w:p>
        </w:tc>
      </w:tr>
      <w:tr>
        <w:tc>
          <w:tcPr>
            <w:tcW w:type="dxa" w:w="1700"/>
            <w:shd w:fill="FFFFFF" w:val="clear"/>
            <w:tcMar>
              <w:top w:type="dxa" w:w="60"/>
              <w:left w:type="dxa" w:w="80"/>
              <w:bottom w:type="dxa" w:w="60"/>
              <w:right w:type="dxa" w:w="80"/>
            </w:tcMar>
          </w:tcPr>
          <w:p>
            <w:r>
              <w:rPr>
                <w:sz w:val="19"/>
                <w:szCs w:val="19"/>
              </w:rPr>
              <w:t xml:space="preserve">Implementation</w:t>
            </w:r>
          </w:p>
        </w:tc>
        <w:tc>
          <w:tcPr>
            <w:tcW w:type="dxa" w:w="2800"/>
            <w:shd w:fill="FFFFFF" w:val="clear"/>
            <w:tcMar>
              <w:top w:type="dxa" w:w="60"/>
              <w:left w:type="dxa" w:w="80"/>
              <w:bottom w:type="dxa" w:w="60"/>
              <w:right w:type="dxa" w:w="80"/>
            </w:tcMar>
          </w:tcPr>
          <w:p>
            <w:r>
              <w:rPr>
                <w:sz w:val="19"/>
                <w:szCs w:val="19"/>
              </w:rPr>
              <w:t xml:space="preserve">Quality Assurance</w:t>
            </w:r>
          </w:p>
        </w:tc>
        <w:tc>
          <w:tcPr>
            <w:tcW w:type="dxa" w:w="3800"/>
            <w:shd w:fill="FFFFFF" w:val="clear"/>
            <w:tcMar>
              <w:top w:type="dxa" w:w="60"/>
              <w:left w:type="dxa" w:w="80"/>
              <w:bottom w:type="dxa" w:w="60"/>
              <w:right w:type="dxa" w:w="80"/>
            </w:tcMar>
          </w:tcPr>
          <w:p>
            <w:r>
              <w:rPr>
                <w:sz w:val="19"/>
                <w:szCs w:val="19"/>
              </w:rPr>
              <w:t xml:space="preserve">Pre-booking compliance and completeness check</w:t>
            </w:r>
          </w:p>
        </w:tc>
      </w:tr>
      <w:tr>
        <w:tc>
          <w:tcPr>
            <w:tcW w:type="dxa" w:w="1700"/>
            <w:shd w:fill="DCE6F1" w:val="clear"/>
            <w:tcMar>
              <w:top w:type="dxa" w:w="60"/>
              <w:left w:type="dxa" w:w="80"/>
              <w:bottom w:type="dxa" w:w="60"/>
              <w:right w:type="dxa" w:w="80"/>
            </w:tcMar>
          </w:tcPr>
          <w:p>
            <w:r>
              <w:rPr>
                <w:sz w:val="19"/>
                <w:szCs w:val="19"/>
              </w:rPr>
              <w:t xml:space="preserve">Implementation</w:t>
            </w:r>
          </w:p>
        </w:tc>
        <w:tc>
          <w:tcPr>
            <w:tcW w:type="dxa" w:w="2800"/>
            <w:shd w:fill="DCE6F1" w:val="clear"/>
            <w:tcMar>
              <w:top w:type="dxa" w:w="60"/>
              <w:left w:type="dxa" w:w="80"/>
              <w:bottom w:type="dxa" w:w="60"/>
              <w:right w:type="dxa" w:w="80"/>
            </w:tcMar>
          </w:tcPr>
          <w:p>
            <w:r>
              <w:rPr>
                <w:sz w:val="19"/>
                <w:szCs w:val="19"/>
              </w:rPr>
              <w:t xml:space="preserve">Processing/Booking Unit</w:t>
            </w:r>
          </w:p>
        </w:tc>
        <w:tc>
          <w:tcPr>
            <w:tcW w:type="dxa" w:w="3800"/>
            <w:shd w:fill="DCE6F1" w:val="clear"/>
            <w:tcMar>
              <w:top w:type="dxa" w:w="60"/>
              <w:left w:type="dxa" w:w="80"/>
              <w:bottom w:type="dxa" w:w="60"/>
              <w:right w:type="dxa" w:w="80"/>
            </w:tcMar>
          </w:tcPr>
          <w:p>
            <w:r>
              <w:rPr>
                <w:sz w:val="19"/>
                <w:szCs w:val="19"/>
              </w:rPr>
              <w:t xml:space="preserve">Books approved facilities into the core banking system</w:t>
            </w:r>
          </w:p>
        </w:tc>
      </w:tr>
      <w:tr>
        <w:tc>
          <w:tcPr>
            <w:tcW w:type="dxa" w:w="1700"/>
            <w:shd w:fill="FFFFFF" w:val="clear"/>
            <w:tcMar>
              <w:top w:type="dxa" w:w="60"/>
              <w:left w:type="dxa" w:w="80"/>
              <w:bottom w:type="dxa" w:w="60"/>
              <w:right w:type="dxa" w:w="80"/>
            </w:tcMar>
          </w:tcPr>
          <w:p>
            <w:r>
              <w:rPr>
                <w:sz w:val="19"/>
                <w:szCs w:val="19"/>
              </w:rPr>
              <w:t xml:space="preserve">Monitoring</w:t>
            </w:r>
          </w:p>
        </w:tc>
        <w:tc>
          <w:tcPr>
            <w:tcW w:type="dxa" w:w="2800"/>
            <w:shd w:fill="FFFFFF" w:val="clear"/>
            <w:tcMar>
              <w:top w:type="dxa" w:w="60"/>
              <w:left w:type="dxa" w:w="80"/>
              <w:bottom w:type="dxa" w:w="60"/>
              <w:right w:type="dxa" w:w="80"/>
            </w:tcMar>
          </w:tcPr>
          <w:p>
            <w:r>
              <w:rPr>
                <w:sz w:val="19"/>
                <w:szCs w:val="19"/>
              </w:rPr>
              <w:t xml:space="preserve">Control / Covenant Officer</w:t>
            </w:r>
          </w:p>
        </w:tc>
        <w:tc>
          <w:tcPr>
            <w:tcW w:type="dxa" w:w="3800"/>
            <w:shd w:fill="FFFFFF" w:val="clear"/>
            <w:tcMar>
              <w:top w:type="dxa" w:w="60"/>
              <w:left w:type="dxa" w:w="80"/>
              <w:bottom w:type="dxa" w:w="60"/>
              <w:right w:type="dxa" w:w="80"/>
            </w:tcMar>
          </w:tcPr>
          <w:p>
            <w:r>
              <w:rPr>
                <w:sz w:val="19"/>
                <w:szCs w:val="19"/>
              </w:rPr>
              <w:t xml:space="preserve">Tracks covenant compliance and post-sanction conditions</w:t>
            </w:r>
          </w:p>
        </w:tc>
      </w:tr>
      <w:tr>
        <w:tc>
          <w:tcPr>
            <w:tcW w:type="dxa" w:w="1700"/>
            <w:shd w:fill="DCE6F1" w:val="clear"/>
            <w:tcMar>
              <w:top w:type="dxa" w:w="60"/>
              <w:left w:type="dxa" w:w="80"/>
              <w:bottom w:type="dxa" w:w="60"/>
              <w:right w:type="dxa" w:w="80"/>
            </w:tcMar>
          </w:tcPr>
          <w:p>
            <w:r>
              <w:rPr>
                <w:sz w:val="19"/>
                <w:szCs w:val="19"/>
              </w:rPr>
              <w:t xml:space="preserve">Administration</w:t>
            </w:r>
          </w:p>
        </w:tc>
        <w:tc>
          <w:tcPr>
            <w:tcW w:type="dxa" w:w="2800"/>
            <w:shd w:fill="DCE6F1" w:val="clear"/>
            <w:tcMar>
              <w:top w:type="dxa" w:w="60"/>
              <w:left w:type="dxa" w:w="80"/>
              <w:bottom w:type="dxa" w:w="60"/>
              <w:right w:type="dxa" w:w="80"/>
            </w:tcMar>
          </w:tcPr>
          <w:p>
            <w:r>
              <w:rPr>
                <w:sz w:val="19"/>
                <w:szCs w:val="19"/>
              </w:rPr>
              <w:t xml:space="preserve">Credit Administration</w:t>
            </w:r>
          </w:p>
        </w:tc>
        <w:tc>
          <w:tcPr>
            <w:tcW w:type="dxa" w:w="3800"/>
            <w:shd w:fill="DCE6F1" w:val="clear"/>
            <w:tcMar>
              <w:top w:type="dxa" w:w="60"/>
              <w:left w:type="dxa" w:w="80"/>
              <w:bottom w:type="dxa" w:w="60"/>
              <w:right w:type="dxa" w:w="80"/>
            </w:tcMar>
          </w:tcPr>
          <w:p>
            <w:r>
              <w:rPr>
                <w:sz w:val="19"/>
                <w:szCs w:val="19"/>
              </w:rPr>
              <w:t xml:space="preserve">Reconciles committee decisions against booked terms</w:t>
            </w:r>
          </w:p>
        </w:tc>
      </w:tr>
      <w:tr>
        <w:tc>
          <w:tcPr>
            <w:tcW w:type="dxa" w:w="1700"/>
            <w:shd w:fill="FFFFFF" w:val="clear"/>
            <w:tcMar>
              <w:top w:type="dxa" w:w="60"/>
              <w:left w:type="dxa" w:w="80"/>
              <w:bottom w:type="dxa" w:w="60"/>
              <w:right w:type="dxa" w:w="80"/>
            </w:tcMar>
          </w:tcPr>
          <w:p>
            <w:r>
              <w:rPr>
                <w:sz w:val="19"/>
                <w:szCs w:val="19"/>
              </w:rPr>
              <w:t xml:space="preserve">Oversight</w:t>
            </w:r>
          </w:p>
        </w:tc>
        <w:tc>
          <w:tcPr>
            <w:tcW w:type="dxa" w:w="2800"/>
            <w:shd w:fill="FFFFFF" w:val="clear"/>
            <w:tcMar>
              <w:top w:type="dxa" w:w="60"/>
              <w:left w:type="dxa" w:w="80"/>
              <w:bottom w:type="dxa" w:w="60"/>
              <w:right w:type="dxa" w:w="80"/>
            </w:tcMar>
          </w:tcPr>
          <w:p>
            <w:r>
              <w:rPr>
                <w:sz w:val="19"/>
                <w:szCs w:val="19"/>
              </w:rPr>
              <w:t xml:space="preserve">Admin / MIS</w:t>
            </w:r>
          </w:p>
        </w:tc>
        <w:tc>
          <w:tcPr>
            <w:tcW w:type="dxa" w:w="3800"/>
            <w:shd w:fill="FFFFFF" w:val="clear"/>
            <w:tcMar>
              <w:top w:type="dxa" w:w="60"/>
              <w:left w:type="dxa" w:w="80"/>
              <w:bottom w:type="dxa" w:w="60"/>
              <w:right w:type="dxa" w:w="80"/>
            </w:tcMar>
          </w:tcPr>
          <w:p>
            <w:r>
              <w:rPr>
                <w:sz w:val="19"/>
                <w:szCs w:val="19"/>
              </w:rPr>
              <w:t xml:space="preserve">Portfolio reporting, SLA monitoring, audit trail</w:t>
            </w:r>
          </w:p>
        </w:tc>
      </w:tr>
    </w:tbl>
    <w:p>
      <w:pPr>
        <w:pStyle w:val="Heading2"/>
        <w:keepNext/>
        <w:spacing w:after="140" w:before="320"/>
      </w:pPr>
      <w:r>
        <w:rPr>
          <w:b/>
          <w:bCs/>
          <w:color w:val="2E5496"/>
          <w:sz w:val="26"/>
          <w:szCs w:val="26"/>
        </w:rPr>
        <w:t xml:space="preserve">2.3 High-Level Architecture</w:t>
      </w:r>
    </w:p>
    <w:p>
      <w:pPr>
        <w:spacing w:after="160"/>
      </w:pPr>
      <w:r>
        <w:rPr>
          <w:sz w:val="21"/>
          <w:szCs w:val="21"/>
        </w:rPr>
        <w:t xml:space="preserve">Three layers, deliberately separated so that onboarding a new client is a configuration exercise, not a re-engineering exercise:</w:t>
      </w:r>
    </w:p>
    <w:p>
      <w:pPr>
        <w:pStyle w:val="ListParagraph"/>
        <w:numPr>
          <w:ilvl w:val="0"/>
          <w:numId w:val="2"/>
        </w:numPr>
        <w:spacing w:after="80"/>
      </w:pPr>
      <w:r>
        <w:rPr>
          <w:sz w:val="21"/>
          <w:szCs w:val="21"/>
        </w:rPr>
        <w:t xml:space="preserve">Configuration Layer — per-client setup: approval hierarchy, facility/product catalog, regulatory thresholds, currency, branding, role names.</w:t>
      </w:r>
    </w:p>
    <w:p>
      <w:pPr>
        <w:pStyle w:val="ListParagraph"/>
        <w:numPr>
          <w:ilvl w:val="0"/>
          <w:numId w:val="2"/>
        </w:numPr>
        <w:spacing w:after="80"/>
      </w:pPr>
      <w:r>
        <w:rPr>
          <w:sz w:val="21"/>
          <w:szCs w:val="21"/>
        </w:rPr>
        <w:t xml:space="preserve">Core Workflow Engine — jurisdiction- and client-agnostic: the Credit Request lifecycle, validation framework, calculation engine, dashboard framework.</w:t>
      </w:r>
    </w:p>
    <w:p>
      <w:pPr>
        <w:pStyle w:val="ListParagraph"/>
        <w:numPr>
          <w:ilvl w:val="0"/>
          <w:numId w:val="2"/>
        </w:numPr>
        <w:spacing w:after="80"/>
      </w:pPr>
      <w:r>
        <w:rPr>
          <w:sz w:val="21"/>
          <w:szCs w:val="21"/>
        </w:rPr>
        <w:t xml:space="preserve">Integration Adapter Layer — pluggable connectors to each client's core banking system, credit bureau, KYC/AML provider, and document management system (see Section 12).</w:t>
      </w:r>
    </w:p>
    <w:p>
      <w:pPr>
        <w:pStyle w:val="Heading1"/>
        <w:pageBreakBefore/>
        <w:spacing w:after="200" w:before="400"/>
      </w:pPr>
      <w:r>
        <w:rPr>
          <w:b/>
          <w:bCs/>
          <w:color w:val="1F3864"/>
          <w:sz w:val="32"/>
          <w:szCs w:val="32"/>
        </w:rPr>
        <w:t xml:space="preserve">3. Credit Request Lifecycle</w:t>
      </w:r>
    </w:p>
    <w:p>
      <w:pPr>
        <w:pStyle w:val="Heading2"/>
        <w:keepNext/>
        <w:spacing w:after="140" w:before="320"/>
      </w:pPr>
      <w:r>
        <w:rPr>
          <w:b/>
          <w:bCs/>
          <w:color w:val="2E5496"/>
          <w:sz w:val="26"/>
          <w:szCs w:val="26"/>
        </w:rPr>
        <w:t xml:space="preserve">3.1 Lifecycle Stages</w:t>
      </w:r>
    </w:p>
    <w:p>
      <w:pPr>
        <w:pStyle w:val="ListParagraph"/>
        <w:numPr>
          <w:ilvl w:val="0"/>
          <w:numId w:val="2"/>
        </w:numPr>
        <w:spacing w:after="80"/>
      </w:pPr>
      <w:r>
        <w:rPr>
          <w:sz w:val="21"/>
          <w:szCs w:val="21"/>
        </w:rPr>
        <w:t xml:space="preserve">Initiation — borrower selection/creation, facility request(s), collateral, pricing entry.</w:t>
      </w:r>
    </w:p>
    <w:p>
      <w:pPr>
        <w:pStyle w:val="ListParagraph"/>
        <w:numPr>
          <w:ilvl w:val="0"/>
          <w:numId w:val="2"/>
        </w:numPr>
        <w:spacing w:after="80"/>
      </w:pPr>
      <w:r>
        <w:rPr>
          <w:sz w:val="21"/>
          <w:szCs w:val="21"/>
        </w:rPr>
        <w:t xml:space="preserve">Credit Review — financial spreading, independent risk review, scoring.</w:t>
      </w:r>
    </w:p>
    <w:p>
      <w:pPr>
        <w:pStyle w:val="ListParagraph"/>
        <w:numPr>
          <w:ilvl w:val="0"/>
          <w:numId w:val="2"/>
        </w:numPr>
        <w:spacing w:after="80"/>
      </w:pPr>
      <w:r>
        <w:rPr>
          <w:sz w:val="21"/>
          <w:szCs w:val="21"/>
        </w:rPr>
        <w:t xml:space="preserve">Committee Decision — routed to the configured approval level; vote or sign-off recorded.</w:t>
      </w:r>
    </w:p>
    <w:p>
      <w:pPr>
        <w:pStyle w:val="ListParagraph"/>
        <w:numPr>
          <w:ilvl w:val="0"/>
          <w:numId w:val="2"/>
        </w:numPr>
        <w:spacing w:after="80"/>
      </w:pPr>
      <w:r>
        <w:rPr>
          <w:sz w:val="21"/>
          <w:szCs w:val="21"/>
        </w:rPr>
        <w:t xml:space="preserve">Implementation — documentation, legal, quality assurance, and booking, each a configurable workflow stage.</w:t>
      </w:r>
    </w:p>
    <w:p>
      <w:pPr>
        <w:pStyle w:val="ListParagraph"/>
        <w:numPr>
          <w:ilvl w:val="0"/>
          <w:numId w:val="2"/>
        </w:numPr>
        <w:spacing w:after="80"/>
      </w:pPr>
      <w:r>
        <w:rPr>
          <w:sz w:val="21"/>
          <w:szCs w:val="21"/>
        </w:rPr>
        <w:t xml:space="preserve">Post-Sanction Monitoring — covenant tracking, utilization monitoring, renewal management.</w:t>
      </w:r>
    </w:p>
    <w:p>
      <w:pPr>
        <w:pStyle w:val="Heading2"/>
        <w:keepNext/>
        <w:spacing w:after="140" w:before="320"/>
      </w:pPr>
      <w:r>
        <w:rPr>
          <w:b/>
          <w:bCs/>
          <w:color w:val="2E5496"/>
          <w:sz w:val="26"/>
          <w:szCs w:val="26"/>
        </w:rPr>
        <w:t xml:space="preserve">3.2 Request Type Catalog (Configurable)</w:t>
      </w:r>
    </w:p>
    <w:p>
      <w:pPr>
        <w:spacing w:after="160"/>
      </w:pPr>
      <w:r>
        <w:rPr>
          <w:sz w:val="21"/>
          <w:szCs w:val="21"/>
        </w:rPr>
        <w:t xml:space="preserve">Request Types are a configurable catalog, not a fixed enum. Each entry defines: the workflow stage sequence it triggers, whether it is a “Main” flow (same request number continues) or a “Child” flow (splits into a separate sub-task), and which fields it makes mandatory, hidden, or locked (see Section 10.2). A reasonable starting catalog, generalized from common corporate lending practice:</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3900"/>
      </w:tblGrid>
      <w:tr>
        <w:trPr>
          <w:tblHeader/>
        </w:trPr>
        <w:tc>
          <w:tcPr>
            <w:tcW w:type="dxa" w:w="2600"/>
            <w:shd w:fill="1F3864" w:val="clear"/>
            <w:tcMar>
              <w:top w:type="dxa" w:w="60"/>
              <w:left w:type="dxa" w:w="80"/>
              <w:bottom w:type="dxa" w:w="60"/>
              <w:right w:type="dxa" w:w="80"/>
            </w:tcMar>
          </w:tcPr>
          <w:p>
            <w:r>
              <w:rPr>
                <w:b/>
                <w:bCs/>
                <w:color w:val="FFFFFF"/>
                <w:sz w:val="19"/>
                <w:szCs w:val="19"/>
              </w:rPr>
              <w:t xml:space="preserve">Request Type</w:t>
            </w:r>
          </w:p>
        </w:tc>
        <w:tc>
          <w:tcPr>
            <w:tcW w:type="dxa" w:w="1800"/>
            <w:shd w:fill="1F3864" w:val="clear"/>
            <w:tcMar>
              <w:top w:type="dxa" w:w="60"/>
              <w:left w:type="dxa" w:w="80"/>
              <w:bottom w:type="dxa" w:w="60"/>
              <w:right w:type="dxa" w:w="80"/>
            </w:tcMar>
          </w:tcPr>
          <w:p>
            <w:r>
              <w:rPr>
                <w:b/>
                <w:bCs/>
                <w:color w:val="FFFFFF"/>
                <w:sz w:val="19"/>
                <w:szCs w:val="19"/>
              </w:rPr>
              <w:t xml:space="preserve">Typical Flow Type</w:t>
            </w:r>
          </w:p>
        </w:tc>
        <w:tc>
          <w:tcPr>
            <w:tcW w:type="dxa" w:w="3900"/>
            <w:shd w:fill="1F3864" w:val="clear"/>
            <w:tcMar>
              <w:top w:type="dxa" w:w="60"/>
              <w:left w:type="dxa" w:w="80"/>
              <w:bottom w:type="dxa" w:w="60"/>
              <w:right w:type="dxa" w:w="80"/>
            </w:tcMar>
          </w:tcPr>
          <w:p>
            <w:r>
              <w:rPr>
                <w:b/>
                <w:bCs/>
                <w:color w:val="FFFFFF"/>
                <w:sz w:val="19"/>
                <w:szCs w:val="19"/>
              </w:rPr>
              <w:t xml:space="preserve">Notes</w:t>
            </w:r>
          </w:p>
        </w:tc>
      </w:tr>
      <w:tr>
        <w:tc>
          <w:tcPr>
            <w:tcW w:type="dxa" w:w="2600"/>
            <w:shd w:fill="FFFFFF" w:val="clear"/>
            <w:tcMar>
              <w:top w:type="dxa" w:w="60"/>
              <w:left w:type="dxa" w:w="80"/>
              <w:bottom w:type="dxa" w:w="60"/>
              <w:right w:type="dxa" w:w="80"/>
            </w:tcMar>
          </w:tcPr>
          <w:p>
            <w:r>
              <w:rPr>
                <w:sz w:val="19"/>
                <w:szCs w:val="19"/>
              </w:rPr>
              <w:t xml:space="preserve">New</w:t>
            </w:r>
          </w:p>
        </w:tc>
        <w:tc>
          <w:tcPr>
            <w:tcW w:type="dxa" w:w="1800"/>
            <w:shd w:fill="FFFFFF" w:val="clear"/>
            <w:tcMar>
              <w:top w:type="dxa" w:w="60"/>
              <w:left w:type="dxa" w:w="80"/>
              <w:bottom w:type="dxa" w:w="60"/>
              <w:right w:type="dxa" w:w="80"/>
            </w:tcMar>
          </w:tcPr>
          <w:p>
            <w:r>
              <w:rPr>
                <w:sz w:val="19"/>
                <w:szCs w:val="19"/>
              </w:rPr>
              <w:t xml:space="preserve">Main</w:t>
            </w:r>
          </w:p>
        </w:tc>
        <w:tc>
          <w:tcPr>
            <w:tcW w:type="dxa" w:w="3900"/>
            <w:shd w:fill="FFFFFF" w:val="clear"/>
            <w:tcMar>
              <w:top w:type="dxa" w:w="60"/>
              <w:left w:type="dxa" w:w="80"/>
              <w:bottom w:type="dxa" w:w="60"/>
              <w:right w:type="dxa" w:w="80"/>
            </w:tcMar>
          </w:tcPr>
          <w:p>
            <w:r>
              <w:rPr>
                <w:sz w:val="19"/>
                <w:szCs w:val="19"/>
              </w:rPr>
              <w:t xml:space="preserve">Full underwriting required</w:t>
            </w:r>
          </w:p>
        </w:tc>
      </w:tr>
      <w:tr>
        <w:tc>
          <w:tcPr>
            <w:tcW w:type="dxa" w:w="2600"/>
            <w:shd w:fill="DCE6F1" w:val="clear"/>
            <w:tcMar>
              <w:top w:type="dxa" w:w="60"/>
              <w:left w:type="dxa" w:w="80"/>
              <w:bottom w:type="dxa" w:w="60"/>
              <w:right w:type="dxa" w:w="80"/>
            </w:tcMar>
          </w:tcPr>
          <w:p>
            <w:r>
              <w:rPr>
                <w:sz w:val="19"/>
                <w:szCs w:val="19"/>
              </w:rPr>
              <w:t xml:space="preserve">Renew</w:t>
            </w:r>
          </w:p>
        </w:tc>
        <w:tc>
          <w:tcPr>
            <w:tcW w:type="dxa" w:w="1800"/>
            <w:shd w:fill="DCE6F1" w:val="clear"/>
            <w:tcMar>
              <w:top w:type="dxa" w:w="60"/>
              <w:left w:type="dxa" w:w="80"/>
              <w:bottom w:type="dxa" w:w="60"/>
              <w:right w:type="dxa" w:w="80"/>
            </w:tcMar>
          </w:tcPr>
          <w:p>
            <w:r>
              <w:rPr>
                <w:sz w:val="19"/>
                <w:szCs w:val="19"/>
              </w:rPr>
              <w:t xml:space="preserve">Main</w:t>
            </w:r>
          </w:p>
        </w:tc>
        <w:tc>
          <w:tcPr>
            <w:tcW w:type="dxa" w:w="3900"/>
            <w:shd w:fill="DCE6F1" w:val="clear"/>
            <w:tcMar>
              <w:top w:type="dxa" w:w="60"/>
              <w:left w:type="dxa" w:w="80"/>
              <w:bottom w:type="dxa" w:w="60"/>
              <w:right w:type="dxa" w:w="80"/>
            </w:tcMar>
          </w:tcPr>
          <w:p>
            <w:r>
              <w:rPr>
                <w:sz w:val="19"/>
                <w:szCs w:val="19"/>
              </w:rPr>
              <w:t xml:space="preserve">Lighter-touch if prior performance is clean</w:t>
            </w:r>
          </w:p>
        </w:tc>
      </w:tr>
      <w:tr>
        <w:tc>
          <w:tcPr>
            <w:tcW w:type="dxa" w:w="2600"/>
            <w:shd w:fill="FFFFFF" w:val="clear"/>
            <w:tcMar>
              <w:top w:type="dxa" w:w="60"/>
              <w:left w:type="dxa" w:w="80"/>
              <w:bottom w:type="dxa" w:w="60"/>
              <w:right w:type="dxa" w:w="80"/>
            </w:tcMar>
          </w:tcPr>
          <w:p>
            <w:r>
              <w:rPr>
                <w:sz w:val="19"/>
                <w:szCs w:val="19"/>
              </w:rPr>
              <w:t xml:space="preserve">Increase</w:t>
            </w:r>
          </w:p>
        </w:tc>
        <w:tc>
          <w:tcPr>
            <w:tcW w:type="dxa" w:w="1800"/>
            <w:shd w:fill="FFFFFF" w:val="clear"/>
            <w:tcMar>
              <w:top w:type="dxa" w:w="60"/>
              <w:left w:type="dxa" w:w="80"/>
              <w:bottom w:type="dxa" w:w="60"/>
              <w:right w:type="dxa" w:w="80"/>
            </w:tcMar>
          </w:tcPr>
          <w:p>
            <w:r>
              <w:rPr>
                <w:sz w:val="19"/>
                <w:szCs w:val="19"/>
              </w:rPr>
              <w:t xml:space="preserve">Main</w:t>
            </w:r>
          </w:p>
        </w:tc>
        <w:tc>
          <w:tcPr>
            <w:tcW w:type="dxa" w:w="3900"/>
            <w:shd w:fill="FFFFFF" w:val="clear"/>
            <w:tcMar>
              <w:top w:type="dxa" w:w="60"/>
              <w:left w:type="dxa" w:w="80"/>
              <w:bottom w:type="dxa" w:w="60"/>
              <w:right w:type="dxa" w:w="80"/>
            </w:tcMar>
          </w:tcPr>
          <w:p>
            <w:r>
              <w:rPr>
                <w:sz w:val="19"/>
                <w:szCs w:val="19"/>
              </w:rPr>
              <w:t xml:space="preserve">Requires updated financials/collateral cover check</w:t>
            </w:r>
          </w:p>
        </w:tc>
      </w:tr>
      <w:tr>
        <w:tc>
          <w:tcPr>
            <w:tcW w:type="dxa" w:w="2600"/>
            <w:shd w:fill="DCE6F1" w:val="clear"/>
            <w:tcMar>
              <w:top w:type="dxa" w:w="60"/>
              <w:left w:type="dxa" w:w="80"/>
              <w:bottom w:type="dxa" w:w="60"/>
              <w:right w:type="dxa" w:w="80"/>
            </w:tcMar>
          </w:tcPr>
          <w:p>
            <w:r>
              <w:rPr>
                <w:sz w:val="19"/>
                <w:szCs w:val="19"/>
              </w:rPr>
              <w:t xml:space="preserve">Decrease</w:t>
            </w:r>
          </w:p>
        </w:tc>
        <w:tc>
          <w:tcPr>
            <w:tcW w:type="dxa" w:w="1800"/>
            <w:shd w:fill="DCE6F1" w:val="clear"/>
            <w:tcMar>
              <w:top w:type="dxa" w:w="60"/>
              <w:left w:type="dxa" w:w="80"/>
              <w:bottom w:type="dxa" w:w="60"/>
              <w:right w:type="dxa" w:w="80"/>
            </w:tcMar>
          </w:tcPr>
          <w:p>
            <w:r>
              <w:rPr>
                <w:sz w:val="19"/>
                <w:szCs w:val="19"/>
              </w:rPr>
              <w:t xml:space="preserve">Child</w:t>
            </w:r>
          </w:p>
        </w:tc>
        <w:tc>
          <w:tcPr>
            <w:tcW w:type="dxa" w:w="3900"/>
            <w:shd w:fill="DCE6F1" w:val="clear"/>
            <w:tcMar>
              <w:top w:type="dxa" w:w="60"/>
              <w:left w:type="dxa" w:w="80"/>
              <w:bottom w:type="dxa" w:w="60"/>
              <w:right w:type="dxa" w:w="80"/>
            </w:tcMar>
          </w:tcPr>
          <w:p>
            <w:r>
              <w:rPr>
                <w:sz w:val="19"/>
                <w:szCs w:val="19"/>
              </w:rPr>
              <w:t xml:space="preserve">Limit reduction</w:t>
            </w:r>
          </w:p>
        </w:tc>
      </w:tr>
      <w:tr>
        <w:tc>
          <w:tcPr>
            <w:tcW w:type="dxa" w:w="2600"/>
            <w:shd w:fill="FFFFFF" w:val="clear"/>
            <w:tcMar>
              <w:top w:type="dxa" w:w="60"/>
              <w:left w:type="dxa" w:w="80"/>
              <w:bottom w:type="dxa" w:w="60"/>
              <w:right w:type="dxa" w:w="80"/>
            </w:tcMar>
          </w:tcPr>
          <w:p>
            <w:r>
              <w:rPr>
                <w:sz w:val="19"/>
                <w:szCs w:val="19"/>
              </w:rPr>
              <w:t xml:space="preserve">Restructure</w:t>
            </w:r>
          </w:p>
        </w:tc>
        <w:tc>
          <w:tcPr>
            <w:tcW w:type="dxa" w:w="1800"/>
            <w:shd w:fill="FFFFFF" w:val="clear"/>
            <w:tcMar>
              <w:top w:type="dxa" w:w="60"/>
              <w:left w:type="dxa" w:w="80"/>
              <w:bottom w:type="dxa" w:w="60"/>
              <w:right w:type="dxa" w:w="80"/>
            </w:tcMar>
          </w:tcPr>
          <w:p>
            <w:r>
              <w:rPr>
                <w:sz w:val="19"/>
                <w:szCs w:val="19"/>
              </w:rPr>
              <w:t xml:space="preserve">Main</w:t>
            </w:r>
          </w:p>
        </w:tc>
        <w:tc>
          <w:tcPr>
            <w:tcW w:type="dxa" w:w="3900"/>
            <w:shd w:fill="FFFFFF" w:val="clear"/>
            <w:tcMar>
              <w:top w:type="dxa" w:w="60"/>
              <w:left w:type="dxa" w:w="80"/>
              <w:bottom w:type="dxa" w:w="60"/>
              <w:right w:type="dxa" w:w="80"/>
            </w:tcMar>
          </w:tcPr>
          <w:p>
            <w:r>
              <w:rPr>
                <w:sz w:val="19"/>
                <w:szCs w:val="19"/>
              </w:rPr>
              <w:t xml:space="preserve">Terms changed, may require re-approval of covenants</w:t>
            </w:r>
          </w:p>
        </w:tc>
      </w:tr>
      <w:tr>
        <w:tc>
          <w:tcPr>
            <w:tcW w:type="dxa" w:w="2600"/>
            <w:shd w:fill="DCE6F1" w:val="clear"/>
            <w:tcMar>
              <w:top w:type="dxa" w:w="60"/>
              <w:left w:type="dxa" w:w="80"/>
              <w:bottom w:type="dxa" w:w="60"/>
              <w:right w:type="dxa" w:w="80"/>
            </w:tcMar>
          </w:tcPr>
          <w:p>
            <w:r>
              <w:rPr>
                <w:sz w:val="19"/>
                <w:szCs w:val="19"/>
              </w:rPr>
              <w:t xml:space="preserve">Refinance</w:t>
            </w:r>
          </w:p>
        </w:tc>
        <w:tc>
          <w:tcPr>
            <w:tcW w:type="dxa" w:w="1800"/>
            <w:shd w:fill="DCE6F1" w:val="clear"/>
            <w:tcMar>
              <w:top w:type="dxa" w:w="60"/>
              <w:left w:type="dxa" w:w="80"/>
              <w:bottom w:type="dxa" w:w="60"/>
              <w:right w:type="dxa" w:w="80"/>
            </w:tcMar>
          </w:tcPr>
          <w:p>
            <w:r>
              <w:rPr>
                <w:sz w:val="19"/>
                <w:szCs w:val="19"/>
              </w:rPr>
              <w:t xml:space="preserve">Main</w:t>
            </w:r>
          </w:p>
        </w:tc>
        <w:tc>
          <w:tcPr>
            <w:tcW w:type="dxa" w:w="3900"/>
            <w:shd w:fill="DCE6F1" w:val="clear"/>
            <w:tcMar>
              <w:top w:type="dxa" w:w="60"/>
              <w:left w:type="dxa" w:w="80"/>
              <w:bottom w:type="dxa" w:w="60"/>
              <w:right w:type="dxa" w:w="80"/>
            </w:tcMar>
          </w:tcPr>
          <w:p>
            <w:r>
              <w:rPr>
                <w:sz w:val="19"/>
                <w:szCs w:val="19"/>
              </w:rPr>
              <w:t xml:space="preserve">Often tied to a takeover/balance transfer</w:t>
            </w:r>
          </w:p>
        </w:tc>
      </w:tr>
      <w:tr>
        <w:tc>
          <w:tcPr>
            <w:tcW w:type="dxa" w:w="2600"/>
            <w:shd w:fill="FFFFFF" w:val="clear"/>
            <w:tcMar>
              <w:top w:type="dxa" w:w="60"/>
              <w:left w:type="dxa" w:w="80"/>
              <w:bottom w:type="dxa" w:w="60"/>
              <w:right w:type="dxa" w:w="80"/>
            </w:tcMar>
          </w:tcPr>
          <w:p>
            <w:r>
              <w:rPr>
                <w:sz w:val="19"/>
                <w:szCs w:val="19"/>
              </w:rPr>
              <w:t xml:space="preserve">Reschedule</w:t>
            </w:r>
          </w:p>
        </w:tc>
        <w:tc>
          <w:tcPr>
            <w:tcW w:type="dxa" w:w="1800"/>
            <w:shd w:fill="FFFFFF" w:val="clear"/>
            <w:tcMar>
              <w:top w:type="dxa" w:w="60"/>
              <w:left w:type="dxa" w:w="80"/>
              <w:bottom w:type="dxa" w:w="60"/>
              <w:right w:type="dxa" w:w="80"/>
            </w:tcMar>
          </w:tcPr>
          <w:p>
            <w:r>
              <w:rPr>
                <w:sz w:val="19"/>
                <w:szCs w:val="19"/>
              </w:rPr>
              <w:t xml:space="preserve">Main</w:t>
            </w:r>
          </w:p>
        </w:tc>
        <w:tc>
          <w:tcPr>
            <w:tcW w:type="dxa" w:w="3900"/>
            <w:shd w:fill="FFFFFF" w:val="clear"/>
            <w:tcMar>
              <w:top w:type="dxa" w:w="60"/>
              <w:left w:type="dxa" w:w="80"/>
              <w:bottom w:type="dxa" w:w="60"/>
              <w:right w:type="dxa" w:w="80"/>
            </w:tcMar>
          </w:tcPr>
          <w:p>
            <w:r>
              <w:rPr>
                <w:sz w:val="19"/>
                <w:szCs w:val="19"/>
              </w:rPr>
              <w:t xml:space="preserve">Repayment schedule change</w:t>
            </w:r>
          </w:p>
        </w:tc>
      </w:tr>
      <w:tr>
        <w:tc>
          <w:tcPr>
            <w:tcW w:type="dxa" w:w="2600"/>
            <w:shd w:fill="DCE6F1" w:val="clear"/>
            <w:tcMar>
              <w:top w:type="dxa" w:w="60"/>
              <w:left w:type="dxa" w:w="80"/>
              <w:bottom w:type="dxa" w:w="60"/>
              <w:right w:type="dxa" w:w="80"/>
            </w:tcMar>
          </w:tcPr>
          <w:p>
            <w:r>
              <w:rPr>
                <w:sz w:val="19"/>
                <w:szCs w:val="19"/>
              </w:rPr>
              <w:t xml:space="preserve">Extension</w:t>
            </w:r>
          </w:p>
        </w:tc>
        <w:tc>
          <w:tcPr>
            <w:tcW w:type="dxa" w:w="1800"/>
            <w:shd w:fill="DCE6F1" w:val="clear"/>
            <w:tcMar>
              <w:top w:type="dxa" w:w="60"/>
              <w:left w:type="dxa" w:w="80"/>
              <w:bottom w:type="dxa" w:w="60"/>
              <w:right w:type="dxa" w:w="80"/>
            </w:tcMar>
          </w:tcPr>
          <w:p>
            <w:r>
              <w:rPr>
                <w:sz w:val="19"/>
                <w:szCs w:val="19"/>
              </w:rPr>
              <w:t xml:space="preserve">Child</w:t>
            </w:r>
          </w:p>
        </w:tc>
        <w:tc>
          <w:tcPr>
            <w:tcW w:type="dxa" w:w="3900"/>
            <w:shd w:fill="DCE6F1" w:val="clear"/>
            <w:tcMar>
              <w:top w:type="dxa" w:w="60"/>
              <w:left w:type="dxa" w:w="80"/>
              <w:bottom w:type="dxa" w:w="60"/>
              <w:right w:type="dxa" w:w="80"/>
            </w:tcMar>
          </w:tcPr>
          <w:p>
            <w:r>
              <w:rPr>
                <w:sz w:val="19"/>
                <w:szCs w:val="19"/>
              </w:rPr>
              <w:t xml:space="preserve">Short-tenor facility rolled over; flag repeated extensions as a risk indicator</w:t>
            </w:r>
          </w:p>
        </w:tc>
      </w:tr>
      <w:tr>
        <w:tc>
          <w:tcPr>
            <w:tcW w:type="dxa" w:w="2600"/>
            <w:shd w:fill="FFFFFF" w:val="clear"/>
            <w:tcMar>
              <w:top w:type="dxa" w:w="60"/>
              <w:left w:type="dxa" w:w="80"/>
              <w:bottom w:type="dxa" w:w="60"/>
              <w:right w:type="dxa" w:w="80"/>
            </w:tcMar>
          </w:tcPr>
          <w:p>
            <w:r>
              <w:rPr>
                <w:sz w:val="19"/>
                <w:szCs w:val="19"/>
              </w:rPr>
              <w:t xml:space="preserve">Annual Review</w:t>
            </w:r>
          </w:p>
        </w:tc>
        <w:tc>
          <w:tcPr>
            <w:tcW w:type="dxa" w:w="1800"/>
            <w:shd w:fill="FFFFFF" w:val="clear"/>
            <w:tcMar>
              <w:top w:type="dxa" w:w="60"/>
              <w:left w:type="dxa" w:w="80"/>
              <w:bottom w:type="dxa" w:w="60"/>
              <w:right w:type="dxa" w:w="80"/>
            </w:tcMar>
          </w:tcPr>
          <w:p>
            <w:r>
              <w:rPr>
                <w:sz w:val="19"/>
                <w:szCs w:val="19"/>
              </w:rPr>
              <w:t xml:space="preserve">Child</w:t>
            </w:r>
          </w:p>
        </w:tc>
        <w:tc>
          <w:tcPr>
            <w:tcW w:type="dxa" w:w="3900"/>
            <w:shd w:fill="FFFFFF" w:val="clear"/>
            <w:tcMar>
              <w:top w:type="dxa" w:w="60"/>
              <w:left w:type="dxa" w:w="80"/>
              <w:bottom w:type="dxa" w:w="60"/>
              <w:right w:type="dxa" w:w="80"/>
            </w:tcMar>
          </w:tcPr>
          <w:p>
            <w:r>
              <w:rPr>
                <w:sz w:val="19"/>
                <w:szCs w:val="19"/>
              </w:rPr>
              <w:t xml:space="preserve">Periodic review with no change requested</w:t>
            </w:r>
          </w:p>
        </w:tc>
      </w:tr>
      <w:tr>
        <w:tc>
          <w:tcPr>
            <w:tcW w:type="dxa" w:w="2600"/>
            <w:shd w:fill="DCE6F1" w:val="clear"/>
            <w:tcMar>
              <w:top w:type="dxa" w:w="60"/>
              <w:left w:type="dxa" w:w="80"/>
              <w:bottom w:type="dxa" w:w="60"/>
              <w:right w:type="dxa" w:w="80"/>
            </w:tcMar>
          </w:tcPr>
          <w:p>
            <w:r>
              <w:rPr>
                <w:sz w:val="19"/>
                <w:szCs w:val="19"/>
              </w:rPr>
              <w:t xml:space="preserve">Cancel</w:t>
            </w:r>
          </w:p>
        </w:tc>
        <w:tc>
          <w:tcPr>
            <w:tcW w:type="dxa" w:w="1800"/>
            <w:shd w:fill="DCE6F1" w:val="clear"/>
            <w:tcMar>
              <w:top w:type="dxa" w:w="60"/>
              <w:left w:type="dxa" w:w="80"/>
              <w:bottom w:type="dxa" w:w="60"/>
              <w:right w:type="dxa" w:w="80"/>
            </w:tcMar>
          </w:tcPr>
          <w:p>
            <w:r>
              <w:rPr>
                <w:sz w:val="19"/>
                <w:szCs w:val="19"/>
              </w:rPr>
              <w:t xml:space="preserve">Child</w:t>
            </w:r>
          </w:p>
        </w:tc>
        <w:tc>
          <w:tcPr>
            <w:tcW w:type="dxa" w:w="3900"/>
            <w:shd w:fill="DCE6F1" w:val="clear"/>
            <w:tcMar>
              <w:top w:type="dxa" w:w="60"/>
              <w:left w:type="dxa" w:w="80"/>
              <w:bottom w:type="dxa" w:w="60"/>
              <w:right w:type="dxa" w:w="80"/>
            </w:tcMar>
          </w:tcPr>
          <w:p>
            <w:r>
              <w:rPr>
                <w:sz w:val="19"/>
                <w:szCs w:val="19"/>
              </w:rPr>
              <w:t xml:space="preserve">Facility closure</w:t>
            </w:r>
          </w:p>
        </w:tc>
      </w:tr>
      <w:tr>
        <w:tc>
          <w:tcPr>
            <w:tcW w:type="dxa" w:w="2600"/>
            <w:shd w:fill="FFFFFF" w:val="clear"/>
            <w:tcMar>
              <w:top w:type="dxa" w:w="60"/>
              <w:left w:type="dxa" w:w="80"/>
              <w:bottom w:type="dxa" w:w="60"/>
              <w:right w:type="dxa" w:w="80"/>
            </w:tcMar>
          </w:tcPr>
          <w:p>
            <w:r>
              <w:rPr>
                <w:sz w:val="19"/>
                <w:szCs w:val="19"/>
              </w:rPr>
              <w:t xml:space="preserve">Suspend / Activate</w:t>
            </w:r>
          </w:p>
        </w:tc>
        <w:tc>
          <w:tcPr>
            <w:tcW w:type="dxa" w:w="1800"/>
            <w:shd w:fill="FFFFFF" w:val="clear"/>
            <w:tcMar>
              <w:top w:type="dxa" w:w="60"/>
              <w:left w:type="dxa" w:w="80"/>
              <w:bottom w:type="dxa" w:w="60"/>
              <w:right w:type="dxa" w:w="80"/>
            </w:tcMar>
          </w:tcPr>
          <w:p>
            <w:r>
              <w:rPr>
                <w:sz w:val="19"/>
                <w:szCs w:val="19"/>
              </w:rPr>
              <w:t xml:space="preserve">Child</w:t>
            </w:r>
          </w:p>
        </w:tc>
        <w:tc>
          <w:tcPr>
            <w:tcW w:type="dxa" w:w="3900"/>
            <w:shd w:fill="FFFFFF" w:val="clear"/>
            <w:tcMar>
              <w:top w:type="dxa" w:w="60"/>
              <w:left w:type="dxa" w:w="80"/>
              <w:bottom w:type="dxa" w:w="60"/>
              <w:right w:type="dxa" w:w="80"/>
            </w:tcMar>
          </w:tcPr>
          <w:p>
            <w:r>
              <w:rPr>
                <w:sz w:val="19"/>
                <w:szCs w:val="19"/>
              </w:rPr>
              <w:t xml:space="preserve">Temporary hold / reinstatement</w:t>
            </w:r>
          </w:p>
        </w:tc>
      </w:tr>
      <w:tr>
        <w:tc>
          <w:tcPr>
            <w:tcW w:type="dxa" w:w="2600"/>
            <w:shd w:fill="DCE6F1" w:val="clear"/>
            <w:tcMar>
              <w:top w:type="dxa" w:w="60"/>
              <w:left w:type="dxa" w:w="80"/>
              <w:bottom w:type="dxa" w:w="60"/>
              <w:right w:type="dxa" w:w="80"/>
            </w:tcMar>
          </w:tcPr>
          <w:p>
            <w:r>
              <w:rPr>
                <w:sz w:val="19"/>
                <w:szCs w:val="19"/>
              </w:rPr>
              <w:t xml:space="preserve">Amend Terms</w:t>
            </w:r>
          </w:p>
        </w:tc>
        <w:tc>
          <w:tcPr>
            <w:tcW w:type="dxa" w:w="1800"/>
            <w:shd w:fill="DCE6F1" w:val="clear"/>
            <w:tcMar>
              <w:top w:type="dxa" w:w="60"/>
              <w:left w:type="dxa" w:w="80"/>
              <w:bottom w:type="dxa" w:w="60"/>
              <w:right w:type="dxa" w:w="80"/>
            </w:tcMar>
          </w:tcPr>
          <w:p>
            <w:r>
              <w:rPr>
                <w:sz w:val="19"/>
                <w:szCs w:val="19"/>
              </w:rPr>
              <w:t xml:space="preserve">Child</w:t>
            </w:r>
          </w:p>
        </w:tc>
        <w:tc>
          <w:tcPr>
            <w:tcW w:type="dxa" w:w="3900"/>
            <w:shd w:fill="DCE6F1" w:val="clear"/>
            <w:tcMar>
              <w:top w:type="dxa" w:w="60"/>
              <w:left w:type="dxa" w:w="80"/>
              <w:bottom w:type="dxa" w:w="60"/>
              <w:right w:type="dxa" w:w="80"/>
            </w:tcMar>
          </w:tcPr>
          <w:p>
            <w:r>
              <w:rPr>
                <w:sz w:val="19"/>
                <w:szCs w:val="19"/>
              </w:rPr>
              <w:t xml:space="preserve">Non-limit contractual change</w:t>
            </w:r>
          </w:p>
        </w:tc>
      </w:tr>
      <w:tr>
        <w:tc>
          <w:tcPr>
            <w:tcW w:type="dxa" w:w="2600"/>
            <w:shd w:fill="FFFFFF" w:val="clear"/>
            <w:tcMar>
              <w:top w:type="dxa" w:w="60"/>
              <w:left w:type="dxa" w:w="80"/>
              <w:bottom w:type="dxa" w:w="60"/>
              <w:right w:type="dxa" w:w="80"/>
            </w:tcMar>
          </w:tcPr>
          <w:p>
            <w:r>
              <w:rPr>
                <w:sz w:val="19"/>
                <w:szCs w:val="19"/>
              </w:rPr>
              <w:t xml:space="preserve">Legal Action</w:t>
            </w:r>
          </w:p>
        </w:tc>
        <w:tc>
          <w:tcPr>
            <w:tcW w:type="dxa" w:w="1800"/>
            <w:shd w:fill="FFFFFF" w:val="clear"/>
            <w:tcMar>
              <w:top w:type="dxa" w:w="60"/>
              <w:left w:type="dxa" w:w="80"/>
              <w:bottom w:type="dxa" w:w="60"/>
              <w:right w:type="dxa" w:w="80"/>
            </w:tcMar>
          </w:tcPr>
          <w:p>
            <w:r>
              <w:rPr>
                <w:sz w:val="19"/>
                <w:szCs w:val="19"/>
              </w:rPr>
              <w:t xml:space="preserve">Main</w:t>
            </w:r>
          </w:p>
        </w:tc>
        <w:tc>
          <w:tcPr>
            <w:tcW w:type="dxa" w:w="3900"/>
            <w:shd w:fill="FFFFFF" w:val="clear"/>
            <w:tcMar>
              <w:top w:type="dxa" w:w="60"/>
              <w:left w:type="dxa" w:w="80"/>
              <w:bottom w:type="dxa" w:w="60"/>
              <w:right w:type="dxa" w:w="80"/>
            </w:tcMar>
          </w:tcPr>
          <w:p>
            <w:r>
              <w:rPr>
                <w:sz w:val="19"/>
                <w:szCs w:val="19"/>
              </w:rPr>
              <w:t xml:space="preserve">Triggers legal workflow</w:t>
            </w:r>
          </w:p>
        </w:tc>
      </w:tr>
      <w:tr>
        <w:tc>
          <w:tcPr>
            <w:tcW w:type="dxa" w:w="2600"/>
            <w:shd w:fill="DCE6F1" w:val="clear"/>
            <w:tcMar>
              <w:top w:type="dxa" w:w="60"/>
              <w:left w:type="dxa" w:w="80"/>
              <w:bottom w:type="dxa" w:w="60"/>
              <w:right w:type="dxa" w:w="80"/>
            </w:tcMar>
          </w:tcPr>
          <w:p>
            <w:r>
              <w:rPr>
                <w:sz w:val="19"/>
                <w:szCs w:val="19"/>
              </w:rPr>
              <w:t xml:space="preserve">Others</w:t>
            </w:r>
          </w:p>
        </w:tc>
        <w:tc>
          <w:tcPr>
            <w:tcW w:type="dxa" w:w="1800"/>
            <w:shd w:fill="DCE6F1" w:val="clear"/>
            <w:tcMar>
              <w:top w:type="dxa" w:w="60"/>
              <w:left w:type="dxa" w:w="80"/>
              <w:bottom w:type="dxa" w:w="60"/>
              <w:right w:type="dxa" w:w="80"/>
            </w:tcMar>
          </w:tcPr>
          <w:p>
            <w:r>
              <w:rPr>
                <w:sz w:val="19"/>
                <w:szCs w:val="19"/>
              </w:rPr>
              <w:t xml:space="preserve">Child</w:t>
            </w:r>
          </w:p>
        </w:tc>
        <w:tc>
          <w:tcPr>
            <w:tcW w:type="dxa" w:w="3900"/>
            <w:shd w:fill="DCE6F1" w:val="clear"/>
            <w:tcMar>
              <w:top w:type="dxa" w:w="60"/>
              <w:left w:type="dxa" w:w="80"/>
              <w:bottom w:type="dxa" w:w="60"/>
              <w:right w:type="dxa" w:w="80"/>
            </w:tcMar>
          </w:tcPr>
          <w:p>
            <w:r>
              <w:rPr>
                <w:sz w:val="19"/>
                <w:szCs w:val="19"/>
              </w:rPr>
              <w:t xml:space="preserve">Catch-all — should be rare in practice; a growing ‘Others’ volume signals a taxonomy gap</w:t>
            </w:r>
          </w:p>
        </w:tc>
      </w:tr>
    </w:tbl>
    <w:p>
      <w:pPr>
        <w:spacing w:after="160"/>
        <w:ind w:left="360"/>
      </w:pPr>
      <w:r>
        <w:rPr>
          <w:i/>
          <w:iCs/>
          <w:color w:val="595959"/>
          <w:sz w:val="20"/>
          <w:szCs w:val="20"/>
        </w:rPr>
        <w:t xml:space="preserve">Lesson from the reference engagement: do not hardcode workflow stage sequences as opaque codes (e.g. a bare “D→L→S→Q→P”). Model each stage as a named, glossary-defined unit (Documentation Review, Legal Review, Signature/Authorization, Quality Assurance, Processing) stored in the configuration layer per Request Type, per client — and keep any worked examples in this document in sync with the actual configured path.</w:t>
      </w:r>
    </w:p>
    <w:p>
      <w:pPr>
        <w:pStyle w:val="Heading2"/>
        <w:keepNext/>
        <w:spacing w:after="140" w:before="320"/>
      </w:pPr>
      <w:r>
        <w:rPr>
          <w:b/>
          <w:bCs/>
          <w:color w:val="2E5496"/>
          <w:sz w:val="26"/>
          <w:szCs w:val="26"/>
        </w:rPr>
        <w:t xml:space="preserve">3.3 Delegated Authority Matrix (Configurable)</w:t>
      </w:r>
    </w:p>
    <w:p>
      <w:pPr>
        <w:spacing w:after="160"/>
      </w:pPr>
      <w:r>
        <w:rPr>
          <w:sz w:val="21"/>
          <w:szCs w:val="21"/>
        </w:rPr>
        <w:t xml:space="preserve">Committee/approval level is determined by a configurable matrix keyed on Facility Amount × Risk Rating × Secured/Unsecured × Facility Type — never a free-text dropdown the user can override without a system check. Example structure (values illustrative, not prescriptive):</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700"/>
        <w:gridCol w:w="2000"/>
        <w:gridCol w:w="1900"/>
        <w:gridCol w:w="1700"/>
      </w:tblGrid>
      <w:tr>
        <w:trPr>
          <w:tblHeader/>
        </w:trPr>
        <w:tc>
          <w:tcPr>
            <w:tcW w:type="dxa" w:w="2700"/>
            <w:shd w:fill="1F3864" w:val="clear"/>
            <w:tcMar>
              <w:top w:type="dxa" w:w="60"/>
              <w:left w:type="dxa" w:w="80"/>
              <w:bottom w:type="dxa" w:w="60"/>
              <w:right w:type="dxa" w:w="80"/>
            </w:tcMar>
          </w:tcPr>
          <w:p>
            <w:r>
              <w:rPr>
                <w:b/>
                <w:bCs/>
                <w:color w:val="FFFFFF"/>
                <w:sz w:val="19"/>
                <w:szCs w:val="19"/>
              </w:rPr>
              <w:t xml:space="preserve">Committee Level</w:t>
            </w:r>
          </w:p>
        </w:tc>
        <w:tc>
          <w:tcPr>
            <w:tcW w:type="dxa" w:w="2000"/>
            <w:shd w:fill="1F3864" w:val="clear"/>
            <w:tcMar>
              <w:top w:type="dxa" w:w="60"/>
              <w:left w:type="dxa" w:w="80"/>
              <w:bottom w:type="dxa" w:w="60"/>
              <w:right w:type="dxa" w:w="80"/>
            </w:tcMar>
          </w:tcPr>
          <w:p>
            <w:r>
              <w:rPr>
                <w:b/>
                <w:bCs/>
                <w:color w:val="FFFFFF"/>
                <w:sz w:val="19"/>
                <w:szCs w:val="19"/>
              </w:rPr>
              <w:t xml:space="preserve">Facility Type</w:t>
            </w:r>
          </w:p>
        </w:tc>
        <w:tc>
          <w:tcPr>
            <w:tcW w:type="dxa" w:w="1900"/>
            <w:shd w:fill="1F3864" w:val="clear"/>
            <w:tcMar>
              <w:top w:type="dxa" w:w="60"/>
              <w:left w:type="dxa" w:w="80"/>
              <w:bottom w:type="dxa" w:w="60"/>
              <w:right w:type="dxa" w:w="80"/>
            </w:tcMar>
          </w:tcPr>
          <w:p>
            <w:r>
              <w:rPr>
                <w:b/>
                <w:bCs/>
                <w:color w:val="FFFFFF"/>
                <w:sz w:val="19"/>
                <w:szCs w:val="19"/>
              </w:rPr>
              <w:t xml:space="preserve">Unsecured Limit</w:t>
            </w:r>
          </w:p>
        </w:tc>
        <w:tc>
          <w:tcPr>
            <w:tcW w:type="dxa" w:w="1700"/>
            <w:shd w:fill="1F3864" w:val="clear"/>
            <w:tcMar>
              <w:top w:type="dxa" w:w="60"/>
              <w:left w:type="dxa" w:w="80"/>
              <w:bottom w:type="dxa" w:w="60"/>
              <w:right w:type="dxa" w:w="80"/>
            </w:tcMar>
          </w:tcPr>
          <w:p>
            <w:r>
              <w:rPr>
                <w:b/>
                <w:bCs/>
                <w:color w:val="FFFFFF"/>
                <w:sz w:val="19"/>
                <w:szCs w:val="19"/>
              </w:rPr>
              <w:t xml:space="preserve">Secured Limit</w:t>
            </w:r>
          </w:p>
        </w:tc>
      </w:tr>
      <w:tr>
        <w:tc>
          <w:tcPr>
            <w:tcW w:type="dxa" w:w="2700"/>
            <w:shd w:fill="FFFFFF" w:val="clear"/>
            <w:tcMar>
              <w:top w:type="dxa" w:w="60"/>
              <w:left w:type="dxa" w:w="80"/>
              <w:bottom w:type="dxa" w:w="60"/>
              <w:right w:type="dxa" w:w="80"/>
            </w:tcMar>
          </w:tcPr>
          <w:p>
            <w:r>
              <w:rPr>
                <w:sz w:val="19"/>
                <w:szCs w:val="19"/>
              </w:rPr>
              <w:t xml:space="preserve">Level 1 (e.g. Quick Query)</w:t>
            </w:r>
          </w:p>
        </w:tc>
        <w:tc>
          <w:tcPr>
            <w:tcW w:type="dxa" w:w="2000"/>
            <w:shd w:fill="FFFFFF" w:val="clear"/>
            <w:tcMar>
              <w:top w:type="dxa" w:w="60"/>
              <w:left w:type="dxa" w:w="80"/>
              <w:bottom w:type="dxa" w:w="60"/>
              <w:right w:type="dxa" w:w="80"/>
            </w:tcMar>
          </w:tcPr>
          <w:p>
            <w:r>
              <w:rPr>
                <w:sz w:val="19"/>
                <w:szCs w:val="19"/>
              </w:rPr>
              <w:t xml:space="preserve">All</w:t>
            </w:r>
          </w:p>
        </w:tc>
        <w:tc>
          <w:tcPr>
            <w:tcW w:type="dxa" w:w="1900"/>
            <w:shd w:fill="FFFFFF" w:val="clear"/>
            <w:tcMar>
              <w:top w:type="dxa" w:w="60"/>
              <w:left w:type="dxa" w:w="80"/>
              <w:bottom w:type="dxa" w:w="60"/>
              <w:right w:type="dxa" w:w="80"/>
            </w:tcMar>
          </w:tcPr>
          <w:p>
            <w:r>
              <w:rPr>
                <w:sz w:val="19"/>
                <w:szCs w:val="19"/>
              </w:rPr>
              <w:t xml:space="preserve">&lt; configurable threshold</w:t>
            </w:r>
          </w:p>
        </w:tc>
        <w:tc>
          <w:tcPr>
            <w:tcW w:type="dxa" w:w="1700"/>
            <w:shd w:fill="FFFFFF" w:val="clear"/>
            <w:tcMar>
              <w:top w:type="dxa" w:w="60"/>
              <w:left w:type="dxa" w:w="80"/>
              <w:bottom w:type="dxa" w:w="60"/>
              <w:right w:type="dxa" w:w="80"/>
            </w:tcMar>
          </w:tcPr>
          <w:p>
            <w:r>
              <w:rPr>
                <w:sz w:val="19"/>
                <w:szCs w:val="19"/>
              </w:rPr>
              <w:t xml:space="preserve">&lt; configurable threshold</w:t>
            </w:r>
          </w:p>
        </w:tc>
      </w:tr>
      <w:tr>
        <w:tc>
          <w:tcPr>
            <w:tcW w:type="dxa" w:w="2700"/>
            <w:shd w:fill="DCE6F1" w:val="clear"/>
            <w:tcMar>
              <w:top w:type="dxa" w:w="60"/>
              <w:left w:type="dxa" w:w="80"/>
              <w:bottom w:type="dxa" w:w="60"/>
              <w:right w:type="dxa" w:w="80"/>
            </w:tcMar>
          </w:tcPr>
          <w:p>
            <w:r>
              <w:rPr>
                <w:sz w:val="19"/>
                <w:szCs w:val="19"/>
              </w:rPr>
              <w:t xml:space="preserve">Level 2 (e.g. Management Committee)</w:t>
            </w:r>
          </w:p>
        </w:tc>
        <w:tc>
          <w:tcPr>
            <w:tcW w:type="dxa" w:w="2000"/>
            <w:shd w:fill="DCE6F1" w:val="clear"/>
            <w:tcMar>
              <w:top w:type="dxa" w:w="60"/>
              <w:left w:type="dxa" w:w="80"/>
              <w:bottom w:type="dxa" w:w="60"/>
              <w:right w:type="dxa" w:w="80"/>
            </w:tcMar>
          </w:tcPr>
          <w:p>
            <w:r>
              <w:rPr>
                <w:sz w:val="19"/>
                <w:szCs w:val="19"/>
              </w:rPr>
              <w:t xml:space="preserve">All</w:t>
            </w:r>
          </w:p>
        </w:tc>
        <w:tc>
          <w:tcPr>
            <w:tcW w:type="dxa" w:w="1900"/>
            <w:shd w:fill="DCE6F1" w:val="clear"/>
            <w:tcMar>
              <w:top w:type="dxa" w:w="60"/>
              <w:left w:type="dxa" w:w="80"/>
              <w:bottom w:type="dxa" w:w="60"/>
              <w:right w:type="dxa" w:w="80"/>
            </w:tcMar>
          </w:tcPr>
          <w:p>
            <w:r>
              <w:rPr>
                <w:sz w:val="19"/>
                <w:szCs w:val="19"/>
              </w:rPr>
              <w:t xml:space="preserve">&lt; configurable threshold</w:t>
            </w:r>
          </w:p>
        </w:tc>
        <w:tc>
          <w:tcPr>
            <w:tcW w:type="dxa" w:w="1700"/>
            <w:shd w:fill="DCE6F1" w:val="clear"/>
            <w:tcMar>
              <w:top w:type="dxa" w:w="60"/>
              <w:left w:type="dxa" w:w="80"/>
              <w:bottom w:type="dxa" w:w="60"/>
              <w:right w:type="dxa" w:w="80"/>
            </w:tcMar>
          </w:tcPr>
          <w:p>
            <w:r>
              <w:rPr>
                <w:sz w:val="19"/>
                <w:szCs w:val="19"/>
              </w:rPr>
              <w:t xml:space="preserve">&lt; configurable threshold</w:t>
            </w:r>
          </w:p>
        </w:tc>
      </w:tr>
      <w:tr>
        <w:tc>
          <w:tcPr>
            <w:tcW w:type="dxa" w:w="2700"/>
            <w:shd w:fill="FFFFFF" w:val="clear"/>
            <w:tcMar>
              <w:top w:type="dxa" w:w="60"/>
              <w:left w:type="dxa" w:w="80"/>
              <w:bottom w:type="dxa" w:w="60"/>
              <w:right w:type="dxa" w:w="80"/>
            </w:tcMar>
          </w:tcPr>
          <w:p>
            <w:r>
              <w:rPr>
                <w:sz w:val="19"/>
                <w:szCs w:val="19"/>
              </w:rPr>
              <w:t xml:space="preserve">Level 3 (e.g. Senior Committee)</w:t>
            </w:r>
          </w:p>
        </w:tc>
        <w:tc>
          <w:tcPr>
            <w:tcW w:type="dxa" w:w="2000"/>
            <w:shd w:fill="FFFFFF" w:val="clear"/>
            <w:tcMar>
              <w:top w:type="dxa" w:w="60"/>
              <w:left w:type="dxa" w:w="80"/>
              <w:bottom w:type="dxa" w:w="60"/>
              <w:right w:type="dxa" w:w="80"/>
            </w:tcMar>
          </w:tcPr>
          <w:p>
            <w:r>
              <w:rPr>
                <w:sz w:val="19"/>
                <w:szCs w:val="19"/>
              </w:rPr>
              <w:t xml:space="preserve">All</w:t>
            </w:r>
          </w:p>
        </w:tc>
        <w:tc>
          <w:tcPr>
            <w:tcW w:type="dxa" w:w="1900"/>
            <w:shd w:fill="FFFFFF" w:val="clear"/>
            <w:tcMar>
              <w:top w:type="dxa" w:w="60"/>
              <w:left w:type="dxa" w:w="80"/>
              <w:bottom w:type="dxa" w:w="60"/>
              <w:right w:type="dxa" w:w="80"/>
            </w:tcMar>
          </w:tcPr>
          <w:p>
            <w:r>
              <w:rPr>
                <w:sz w:val="19"/>
                <w:szCs w:val="19"/>
              </w:rPr>
              <w:t xml:space="preserve">&lt; configurable threshold</w:t>
            </w:r>
          </w:p>
        </w:tc>
        <w:tc>
          <w:tcPr>
            <w:tcW w:type="dxa" w:w="1700"/>
            <w:shd w:fill="FFFFFF" w:val="clear"/>
            <w:tcMar>
              <w:top w:type="dxa" w:w="60"/>
              <w:left w:type="dxa" w:w="80"/>
              <w:bottom w:type="dxa" w:w="60"/>
              <w:right w:type="dxa" w:w="80"/>
            </w:tcMar>
          </w:tcPr>
          <w:p>
            <w:r>
              <w:rPr>
                <w:sz w:val="19"/>
                <w:szCs w:val="19"/>
              </w:rPr>
              <w:t xml:space="preserve">&lt; configurable threshold</w:t>
            </w:r>
          </w:p>
        </w:tc>
      </w:tr>
      <w:tr>
        <w:tc>
          <w:tcPr>
            <w:tcW w:type="dxa" w:w="2700"/>
            <w:shd w:fill="DCE6F1" w:val="clear"/>
            <w:tcMar>
              <w:top w:type="dxa" w:w="60"/>
              <w:left w:type="dxa" w:w="80"/>
              <w:bottom w:type="dxa" w:w="60"/>
              <w:right w:type="dxa" w:w="80"/>
            </w:tcMar>
          </w:tcPr>
          <w:p>
            <w:r>
              <w:rPr>
                <w:sz w:val="19"/>
                <w:szCs w:val="19"/>
              </w:rPr>
              <w:t xml:space="preserve">Level 4 (e.g. Board Committee)</w:t>
            </w:r>
          </w:p>
        </w:tc>
        <w:tc>
          <w:tcPr>
            <w:tcW w:type="dxa" w:w="2000"/>
            <w:shd w:fill="DCE6F1" w:val="clear"/>
            <w:tcMar>
              <w:top w:type="dxa" w:w="60"/>
              <w:left w:type="dxa" w:w="80"/>
              <w:bottom w:type="dxa" w:w="60"/>
              <w:right w:type="dxa" w:w="80"/>
            </w:tcMar>
          </w:tcPr>
          <w:p>
            <w:r>
              <w:rPr>
                <w:sz w:val="19"/>
                <w:szCs w:val="19"/>
              </w:rPr>
              <w:t xml:space="preserve">All / Connected Party</w:t>
            </w:r>
          </w:p>
        </w:tc>
        <w:tc>
          <w:tcPr>
            <w:tcW w:type="dxa" w:w="1900"/>
            <w:shd w:fill="DCE6F1" w:val="clear"/>
            <w:tcMar>
              <w:top w:type="dxa" w:w="60"/>
              <w:left w:type="dxa" w:w="80"/>
              <w:bottom w:type="dxa" w:w="60"/>
              <w:right w:type="dxa" w:w="80"/>
            </w:tcMar>
          </w:tcPr>
          <w:p>
            <w:r>
              <w:rPr>
                <w:sz w:val="19"/>
                <w:szCs w:val="19"/>
              </w:rPr>
              <w:t xml:space="preserve">Above Level 3 ceiling, or any connected-party exposure</w:t>
            </w:r>
          </w:p>
        </w:tc>
        <w:tc>
          <w:tcPr>
            <w:tcW w:type="dxa" w:w="1700"/>
            <w:shd w:fill="DCE6F1" w:val="clear"/>
            <w:tcMar>
              <w:top w:type="dxa" w:w="60"/>
              <w:left w:type="dxa" w:w="80"/>
              <w:bottom w:type="dxa" w:w="60"/>
              <w:right w:type="dxa" w:w="80"/>
            </w:tcMar>
          </w:tcPr>
          <w:p>
            <w:r>
              <w:rPr>
                <w:sz w:val="19"/>
                <w:szCs w:val="19"/>
              </w:rPr>
              <w:t xml:space="preserve">Above Level 3 ceiling, or any connected-party exposure</w:t>
            </w:r>
          </w:p>
        </w:tc>
      </w:tr>
    </w:tbl>
    <w:p>
      <w:pPr>
        <w:spacing w:after="160"/>
        <w:ind w:left="360"/>
      </w:pPr>
      <w:r>
        <w:rPr>
          <w:i/>
          <w:iCs/>
          <w:color w:val="595959"/>
          <w:sz w:val="20"/>
          <w:szCs w:val="20"/>
        </w:rPr>
        <w:t xml:space="preserve">A connected-party/related-party flag (director, board member, staff, related company) must force routing to the highest configured committee level regardless of amount — this was a gap found in the reference engagement.</w:t>
      </w:r>
    </w:p>
    <w:p>
      <w:pPr>
        <w:pStyle w:val="Heading1"/>
        <w:pageBreakBefore/>
        <w:spacing w:after="200" w:before="400"/>
      </w:pPr>
      <w:r>
        <w:rPr>
          <w:b/>
          <w:bCs/>
          <w:color w:val="1F3864"/>
          <w:sz w:val="32"/>
          <w:szCs w:val="32"/>
        </w:rPr>
        <w:t xml:space="preserve">4. Core Data Modules</w:t>
      </w:r>
    </w:p>
    <w:p>
      <w:pPr>
        <w:spacing w:after="160"/>
      </w:pPr>
      <w:r>
        <w:rPr>
          <w:sz w:val="21"/>
          <w:szCs w:val="21"/>
        </w:rPr>
        <w:t xml:space="preserve">Generalized from the reference engagement's Module A–G structure, renamed functionally so the structure travels across institutions that use different module letters/names:</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4300"/>
      </w:tblGrid>
      <w:tr>
        <w:trPr>
          <w:tblHeader/>
        </w:trPr>
        <w:tc>
          <w:tcPr>
            <w:tcW w:type="dxa" w:w="2300"/>
            <w:shd w:fill="1F3864" w:val="clear"/>
            <w:tcMar>
              <w:top w:type="dxa" w:w="60"/>
              <w:left w:type="dxa" w:w="80"/>
              <w:bottom w:type="dxa" w:w="60"/>
              <w:right w:type="dxa" w:w="80"/>
            </w:tcMar>
          </w:tcPr>
          <w:p>
            <w:r>
              <w:rPr>
                <w:b/>
                <w:bCs/>
                <w:color w:val="FFFFFF"/>
                <w:sz w:val="19"/>
                <w:szCs w:val="19"/>
              </w:rPr>
              <w:t xml:space="preserve">Module (Generic)</w:t>
            </w:r>
          </w:p>
        </w:tc>
        <w:tc>
          <w:tcPr>
            <w:tcW w:type="dxa" w:w="1700"/>
            <w:shd w:fill="1F3864" w:val="clear"/>
            <w:tcMar>
              <w:top w:type="dxa" w:w="60"/>
              <w:left w:type="dxa" w:w="80"/>
              <w:bottom w:type="dxa" w:w="60"/>
              <w:right w:type="dxa" w:w="80"/>
            </w:tcMar>
          </w:tcPr>
          <w:p>
            <w:r>
              <w:rPr>
                <w:b/>
                <w:bCs/>
                <w:color w:val="FFFFFF"/>
                <w:sz w:val="19"/>
                <w:szCs w:val="19"/>
              </w:rPr>
              <w:t xml:space="preserve">Equivalent In Reference</w:t>
            </w:r>
          </w:p>
        </w:tc>
        <w:tc>
          <w:tcPr>
            <w:tcW w:type="dxa" w:w="4300"/>
            <w:shd w:fill="1F3864" w:val="clear"/>
            <w:tcMar>
              <w:top w:type="dxa" w:w="60"/>
              <w:left w:type="dxa" w:w="80"/>
              <w:bottom w:type="dxa" w:w="60"/>
              <w:right w:type="dxa" w:w="80"/>
            </w:tcMar>
          </w:tcPr>
          <w:p>
            <w:r>
              <w:rPr>
                <w:b/>
                <w:bCs/>
                <w:color w:val="FFFFFF"/>
                <w:sz w:val="19"/>
                <w:szCs w:val="19"/>
              </w:rPr>
              <w:t xml:space="preserve">Contents</w:t>
            </w:r>
          </w:p>
        </w:tc>
      </w:tr>
      <w:tr>
        <w:tc>
          <w:tcPr>
            <w:tcW w:type="dxa" w:w="2300"/>
            <w:shd w:fill="FFFFFF" w:val="clear"/>
            <w:tcMar>
              <w:top w:type="dxa" w:w="60"/>
              <w:left w:type="dxa" w:w="80"/>
              <w:bottom w:type="dxa" w:w="60"/>
              <w:right w:type="dxa" w:w="80"/>
            </w:tcMar>
          </w:tcPr>
          <w:p>
            <w:r>
              <w:rPr>
                <w:sz w:val="19"/>
                <w:szCs w:val="19"/>
              </w:rPr>
              <w:t xml:space="preserve">Borrower Profile</w:t>
            </w:r>
          </w:p>
        </w:tc>
        <w:tc>
          <w:tcPr>
            <w:tcW w:type="dxa" w:w="1700"/>
            <w:shd w:fill="FFFFFF" w:val="clear"/>
            <w:tcMar>
              <w:top w:type="dxa" w:w="60"/>
              <w:left w:type="dxa" w:w="80"/>
              <w:bottom w:type="dxa" w:w="60"/>
              <w:right w:type="dxa" w:w="80"/>
            </w:tcMar>
          </w:tcPr>
          <w:p>
            <w:r>
              <w:rPr>
                <w:sz w:val="19"/>
                <w:szCs w:val="19"/>
              </w:rPr>
              <w:t xml:space="preserve">Module A</w:t>
            </w:r>
          </w:p>
        </w:tc>
        <w:tc>
          <w:tcPr>
            <w:tcW w:type="dxa" w:w="4300"/>
            <w:shd w:fill="FFFFFF" w:val="clear"/>
            <w:tcMar>
              <w:top w:type="dxa" w:w="60"/>
              <w:left w:type="dxa" w:w="80"/>
              <w:bottom w:type="dxa" w:w="60"/>
              <w:right w:type="dxa" w:w="80"/>
            </w:tcMar>
          </w:tcPr>
          <w:p>
            <w:r>
              <w:rPr>
                <w:sz w:val="19"/>
                <w:szCs w:val="19"/>
              </w:rPr>
              <w:t xml:space="preserve">General info, capital/return summary, guarantor profiles, ESG, group info, deal economics, client requests</w:t>
            </w:r>
          </w:p>
        </w:tc>
      </w:tr>
      <w:tr>
        <w:tc>
          <w:tcPr>
            <w:tcW w:type="dxa" w:w="2300"/>
            <w:shd w:fill="DCE6F1" w:val="clear"/>
            <w:tcMar>
              <w:top w:type="dxa" w:w="60"/>
              <w:left w:type="dxa" w:w="80"/>
              <w:bottom w:type="dxa" w:w="60"/>
              <w:right w:type="dxa" w:w="80"/>
            </w:tcMar>
          </w:tcPr>
          <w:p>
            <w:r>
              <w:rPr>
                <w:sz w:val="19"/>
                <w:szCs w:val="19"/>
              </w:rPr>
              <w:t xml:space="preserve">Facility &amp; Collateral</w:t>
            </w:r>
          </w:p>
        </w:tc>
        <w:tc>
          <w:tcPr>
            <w:tcW w:type="dxa" w:w="1700"/>
            <w:shd w:fill="DCE6F1" w:val="clear"/>
            <w:tcMar>
              <w:top w:type="dxa" w:w="60"/>
              <w:left w:type="dxa" w:w="80"/>
              <w:bottom w:type="dxa" w:w="60"/>
              <w:right w:type="dxa" w:w="80"/>
            </w:tcMar>
          </w:tcPr>
          <w:p>
            <w:r>
              <w:rPr>
                <w:sz w:val="19"/>
                <w:szCs w:val="19"/>
              </w:rPr>
              <w:t xml:space="preserve">Module B</w:t>
            </w:r>
          </w:p>
        </w:tc>
        <w:tc>
          <w:tcPr>
            <w:tcW w:type="dxa" w:w="4300"/>
            <w:shd w:fill="DCE6F1" w:val="clear"/>
            <w:tcMar>
              <w:top w:type="dxa" w:w="60"/>
              <w:left w:type="dxa" w:w="80"/>
              <w:bottom w:type="dxa" w:w="60"/>
              <w:right w:type="dxa" w:w="80"/>
            </w:tcMar>
          </w:tcPr>
          <w:p>
            <w:r>
              <w:rPr>
                <w:sz w:val="19"/>
                <w:szCs w:val="19"/>
              </w:rPr>
              <w:t xml:space="preserve">Credit facilities, collateral/security, covenants/conditions, pricing</w:t>
            </w:r>
          </w:p>
        </w:tc>
      </w:tr>
      <w:tr>
        <w:tc>
          <w:tcPr>
            <w:tcW w:type="dxa" w:w="2300"/>
            <w:shd w:fill="FFFFFF" w:val="clear"/>
            <w:tcMar>
              <w:top w:type="dxa" w:w="60"/>
              <w:left w:type="dxa" w:w="80"/>
              <w:bottom w:type="dxa" w:w="60"/>
              <w:right w:type="dxa" w:w="80"/>
            </w:tcMar>
          </w:tcPr>
          <w:p>
            <w:r>
              <w:rPr>
                <w:sz w:val="19"/>
                <w:szCs w:val="19"/>
              </w:rPr>
              <w:t xml:space="preserve">Exposure &amp; Relationship</w:t>
            </w:r>
          </w:p>
        </w:tc>
        <w:tc>
          <w:tcPr>
            <w:tcW w:type="dxa" w:w="1700"/>
            <w:shd w:fill="FFFFFF" w:val="clear"/>
            <w:tcMar>
              <w:top w:type="dxa" w:w="60"/>
              <w:left w:type="dxa" w:w="80"/>
              <w:bottom w:type="dxa" w:w="60"/>
              <w:right w:type="dxa" w:w="80"/>
            </w:tcMar>
          </w:tcPr>
          <w:p>
            <w:r>
              <w:rPr>
                <w:sz w:val="19"/>
                <w:szCs w:val="19"/>
              </w:rPr>
              <w:t xml:space="preserve">Module C</w:t>
            </w:r>
          </w:p>
        </w:tc>
        <w:tc>
          <w:tcPr>
            <w:tcW w:type="dxa" w:w="4300"/>
            <w:shd w:fill="FFFFFF" w:val="clear"/>
            <w:tcMar>
              <w:top w:type="dxa" w:w="60"/>
              <w:left w:type="dxa" w:w="80"/>
              <w:bottom w:type="dxa" w:w="60"/>
              <w:right w:type="dxa" w:w="80"/>
            </w:tcMar>
          </w:tcPr>
          <w:p>
            <w:r>
              <w:rPr>
                <w:sz w:val="19"/>
                <w:szCs w:val="19"/>
              </w:rPr>
              <w:t xml:space="preserve">Group exposure, bureau/market-share data, profitability, bank dealings, personal net worth</w:t>
            </w:r>
          </w:p>
        </w:tc>
      </w:tr>
      <w:tr>
        <w:tc>
          <w:tcPr>
            <w:tcW w:type="dxa" w:w="2300"/>
            <w:shd w:fill="DCE6F1" w:val="clear"/>
            <w:tcMar>
              <w:top w:type="dxa" w:w="60"/>
              <w:left w:type="dxa" w:w="80"/>
              <w:bottom w:type="dxa" w:w="60"/>
              <w:right w:type="dxa" w:w="80"/>
            </w:tcMar>
          </w:tcPr>
          <w:p>
            <w:r>
              <w:rPr>
                <w:sz w:val="19"/>
                <w:szCs w:val="19"/>
              </w:rPr>
              <w:t xml:space="preserve">Business Profile</w:t>
            </w:r>
          </w:p>
        </w:tc>
        <w:tc>
          <w:tcPr>
            <w:tcW w:type="dxa" w:w="1700"/>
            <w:shd w:fill="DCE6F1" w:val="clear"/>
            <w:tcMar>
              <w:top w:type="dxa" w:w="60"/>
              <w:left w:type="dxa" w:w="80"/>
              <w:bottom w:type="dxa" w:w="60"/>
              <w:right w:type="dxa" w:w="80"/>
            </w:tcMar>
          </w:tcPr>
          <w:p>
            <w:r>
              <w:rPr>
                <w:sz w:val="19"/>
                <w:szCs w:val="19"/>
              </w:rPr>
              <w:t xml:space="preserve">Module D</w:t>
            </w:r>
          </w:p>
        </w:tc>
        <w:tc>
          <w:tcPr>
            <w:tcW w:type="dxa" w:w="4300"/>
            <w:shd w:fill="DCE6F1" w:val="clear"/>
            <w:tcMar>
              <w:top w:type="dxa" w:w="60"/>
              <w:left w:type="dxa" w:w="80"/>
              <w:bottom w:type="dxa" w:w="60"/>
              <w:right w:type="dxa" w:w="80"/>
            </w:tcMar>
          </w:tcPr>
          <w:p>
            <w:r>
              <w:rPr>
                <w:sz w:val="19"/>
                <w:szCs w:val="19"/>
              </w:rPr>
              <w:t xml:space="preserve">Industry/business information, project pipeline, NBK/relationship history equivalent</w:t>
            </w:r>
          </w:p>
        </w:tc>
      </w:tr>
      <w:tr>
        <w:tc>
          <w:tcPr>
            <w:tcW w:type="dxa" w:w="2300"/>
            <w:shd w:fill="FFFFFF" w:val="clear"/>
            <w:tcMar>
              <w:top w:type="dxa" w:w="60"/>
              <w:left w:type="dxa" w:w="80"/>
              <w:bottom w:type="dxa" w:w="60"/>
              <w:right w:type="dxa" w:w="80"/>
            </w:tcMar>
          </w:tcPr>
          <w:p>
            <w:r>
              <w:rPr>
                <w:sz w:val="19"/>
                <w:szCs w:val="19"/>
              </w:rPr>
              <w:t xml:space="preserve">Financial Analysis</w:t>
            </w:r>
          </w:p>
        </w:tc>
        <w:tc>
          <w:tcPr>
            <w:tcW w:type="dxa" w:w="1700"/>
            <w:shd w:fill="FFFFFF" w:val="clear"/>
            <w:tcMar>
              <w:top w:type="dxa" w:w="60"/>
              <w:left w:type="dxa" w:w="80"/>
              <w:bottom w:type="dxa" w:w="60"/>
              <w:right w:type="dxa" w:w="80"/>
            </w:tcMar>
          </w:tcPr>
          <w:p>
            <w:r>
              <w:rPr>
                <w:sz w:val="19"/>
                <w:szCs w:val="19"/>
              </w:rPr>
              <w:t xml:space="preserve">Module E</w:t>
            </w:r>
          </w:p>
        </w:tc>
        <w:tc>
          <w:tcPr>
            <w:tcW w:type="dxa" w:w="4300"/>
            <w:shd w:fill="FFFFFF" w:val="clear"/>
            <w:tcMar>
              <w:top w:type="dxa" w:w="60"/>
              <w:left w:type="dxa" w:w="80"/>
              <w:bottom w:type="dxa" w:w="60"/>
              <w:right w:type="dxa" w:w="80"/>
            </w:tcMar>
          </w:tcPr>
          <w:p>
            <w:r>
              <w:rPr>
                <w:sz w:val="19"/>
                <w:szCs w:val="19"/>
              </w:rPr>
              <w:t xml:space="preserve">Spreading, ratios, cash flow, capital structure, sources &amp; uses</w:t>
            </w:r>
          </w:p>
        </w:tc>
      </w:tr>
      <w:tr>
        <w:tc>
          <w:tcPr>
            <w:tcW w:type="dxa" w:w="2300"/>
            <w:shd w:fill="DCE6F1" w:val="clear"/>
            <w:tcMar>
              <w:top w:type="dxa" w:w="60"/>
              <w:left w:type="dxa" w:w="80"/>
              <w:bottom w:type="dxa" w:w="60"/>
              <w:right w:type="dxa" w:w="80"/>
            </w:tcMar>
          </w:tcPr>
          <w:p>
            <w:r>
              <w:rPr>
                <w:sz w:val="19"/>
                <w:szCs w:val="19"/>
              </w:rPr>
              <w:t xml:space="preserve">ESG &amp; Sustainability</w:t>
            </w:r>
          </w:p>
        </w:tc>
        <w:tc>
          <w:tcPr>
            <w:tcW w:type="dxa" w:w="1700"/>
            <w:shd w:fill="DCE6F1" w:val="clear"/>
            <w:tcMar>
              <w:top w:type="dxa" w:w="60"/>
              <w:left w:type="dxa" w:w="80"/>
              <w:bottom w:type="dxa" w:w="60"/>
              <w:right w:type="dxa" w:w="80"/>
            </w:tcMar>
          </w:tcPr>
          <w:p>
            <w:r>
              <w:rPr>
                <w:sz w:val="19"/>
                <w:szCs w:val="19"/>
              </w:rPr>
              <w:t xml:space="preserve">Module F</w:t>
            </w:r>
          </w:p>
        </w:tc>
        <w:tc>
          <w:tcPr>
            <w:tcW w:type="dxa" w:w="4300"/>
            <w:shd w:fill="DCE6F1" w:val="clear"/>
            <w:tcMar>
              <w:top w:type="dxa" w:w="60"/>
              <w:left w:type="dxa" w:w="80"/>
              <w:bottom w:type="dxa" w:w="60"/>
              <w:right w:type="dxa" w:w="80"/>
            </w:tcMar>
          </w:tcPr>
          <w:p>
            <w:r>
              <w:rPr>
                <w:sz w:val="19"/>
                <w:szCs w:val="19"/>
              </w:rPr>
              <w:t xml:space="preserve">Transitional risk, physical risk, social risk, governance risk (optional module — configurable on/off per client)</w:t>
            </w:r>
          </w:p>
        </w:tc>
      </w:tr>
      <w:tr>
        <w:tc>
          <w:tcPr>
            <w:tcW w:type="dxa" w:w="2300"/>
            <w:shd w:fill="FFFFFF" w:val="clear"/>
            <w:tcMar>
              <w:top w:type="dxa" w:w="60"/>
              <w:left w:type="dxa" w:w="80"/>
              <w:bottom w:type="dxa" w:w="60"/>
              <w:right w:type="dxa" w:w="80"/>
            </w:tcMar>
          </w:tcPr>
          <w:p>
            <w:r>
              <w:rPr>
                <w:sz w:val="19"/>
                <w:szCs w:val="19"/>
              </w:rPr>
              <w:t xml:space="preserve">Credit Administration</w:t>
            </w:r>
          </w:p>
        </w:tc>
        <w:tc>
          <w:tcPr>
            <w:tcW w:type="dxa" w:w="1700"/>
            <w:shd w:fill="FFFFFF" w:val="clear"/>
            <w:tcMar>
              <w:top w:type="dxa" w:w="60"/>
              <w:left w:type="dxa" w:w="80"/>
              <w:bottom w:type="dxa" w:w="60"/>
              <w:right w:type="dxa" w:w="80"/>
            </w:tcMar>
          </w:tcPr>
          <w:p>
            <w:r>
              <w:rPr>
                <w:sz w:val="19"/>
                <w:szCs w:val="19"/>
              </w:rPr>
              <w:t xml:space="preserve">Module G</w:t>
            </w:r>
          </w:p>
        </w:tc>
        <w:tc>
          <w:tcPr>
            <w:tcW w:type="dxa" w:w="4300"/>
            <w:shd w:fill="FFFFFF" w:val="clear"/>
            <w:tcMar>
              <w:top w:type="dxa" w:w="60"/>
              <w:left w:type="dxa" w:w="80"/>
              <w:bottom w:type="dxa" w:w="60"/>
              <w:right w:type="dxa" w:w="80"/>
            </w:tcMar>
          </w:tcPr>
          <w:p>
            <w:r>
              <w:rPr>
                <w:sz w:val="19"/>
                <w:szCs w:val="19"/>
              </w:rPr>
              <w:t xml:space="preserve">Post-approval booking, maker-checker, reconciliation against committee decision</w:t>
            </w:r>
          </w:p>
        </w:tc>
      </w:tr>
    </w:tbl>
    <w:p>
      <w:pPr>
        <w:pStyle w:val="Heading1"/>
        <w:pageBreakBefore/>
        <w:spacing w:after="200" w:before="400"/>
      </w:pPr>
      <w:r>
        <w:rPr>
          <w:b/>
          <w:bCs/>
          <w:color w:val="1F3864"/>
          <w:sz w:val="32"/>
          <w:szCs w:val="32"/>
        </w:rPr>
        <w:t xml:space="preserve">5. Facility &amp; Product Taxonomy</w:t>
      </w:r>
    </w:p>
    <w:p>
      <w:pPr>
        <w:pStyle w:val="Heading2"/>
        <w:keepNext/>
        <w:spacing w:after="140" w:before="320"/>
      </w:pPr>
      <w:r>
        <w:rPr>
          <w:b/>
          <w:bCs/>
          <w:color w:val="2E5496"/>
          <w:sz w:val="26"/>
          <w:szCs w:val="26"/>
        </w:rPr>
        <w:t xml:space="preserve">5.1 Facility Type Catalog (Configurable)</w:t>
      </w:r>
    </w:p>
    <w:p>
      <w:pPr>
        <w:spacing w:after="160"/>
      </w:pPr>
      <w:r>
        <w:rPr>
          <w:sz w:val="21"/>
          <w:szCs w:val="21"/>
        </w:rPr>
        <w:t xml:space="preserve">Every facility type is a configuration record, not a hardcoded value, with these required attributes:</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3300"/>
      </w:tblGrid>
      <w:tr>
        <w:trPr>
          <w:tblHeader/>
        </w:trPr>
        <w:tc>
          <w:tcPr>
            <w:tcW w:type="dxa" w:w="2800"/>
            <w:shd w:fill="1F3864" w:val="clear"/>
            <w:tcMar>
              <w:top w:type="dxa" w:w="60"/>
              <w:left w:type="dxa" w:w="80"/>
              <w:bottom w:type="dxa" w:w="60"/>
              <w:right w:type="dxa" w:w="80"/>
            </w:tcMar>
          </w:tcPr>
          <w:p>
            <w:r>
              <w:rPr>
                <w:b/>
                <w:bCs/>
                <w:color w:val="FFFFFF"/>
                <w:sz w:val="19"/>
                <w:szCs w:val="19"/>
              </w:rPr>
              <w:t xml:space="preserve">Attribute</w:t>
            </w:r>
          </w:p>
        </w:tc>
        <w:tc>
          <w:tcPr>
            <w:tcW w:type="dxa" w:w="2200"/>
            <w:shd w:fill="1F3864" w:val="clear"/>
            <w:tcMar>
              <w:top w:type="dxa" w:w="60"/>
              <w:left w:type="dxa" w:w="80"/>
              <w:bottom w:type="dxa" w:w="60"/>
              <w:right w:type="dxa" w:w="80"/>
            </w:tcMar>
          </w:tcPr>
          <w:p>
            <w:r>
              <w:rPr>
                <w:b/>
                <w:bCs/>
                <w:color w:val="FFFFFF"/>
                <w:sz w:val="19"/>
                <w:szCs w:val="19"/>
              </w:rPr>
              <w:t xml:space="preserve">Required?</w:t>
            </w:r>
          </w:p>
        </w:tc>
        <w:tc>
          <w:tcPr>
            <w:tcW w:type="dxa" w:w="3300"/>
            <w:shd w:fill="1F3864" w:val="clear"/>
            <w:tcMar>
              <w:top w:type="dxa" w:w="60"/>
              <w:left w:type="dxa" w:w="80"/>
              <w:bottom w:type="dxa" w:w="60"/>
              <w:right w:type="dxa" w:w="80"/>
            </w:tcMar>
          </w:tcPr>
          <w:p>
            <w:r>
              <w:rPr>
                <w:b/>
                <w:bCs/>
                <w:color w:val="FFFFFF"/>
                <w:sz w:val="19"/>
                <w:szCs w:val="19"/>
              </w:rPr>
              <w:t xml:space="preserve">Notes</w:t>
            </w:r>
          </w:p>
        </w:tc>
      </w:tr>
      <w:tr>
        <w:tc>
          <w:tcPr>
            <w:tcW w:type="dxa" w:w="2800"/>
            <w:shd w:fill="FFFFFF" w:val="clear"/>
            <w:tcMar>
              <w:top w:type="dxa" w:w="60"/>
              <w:left w:type="dxa" w:w="80"/>
              <w:bottom w:type="dxa" w:w="60"/>
              <w:right w:type="dxa" w:w="80"/>
            </w:tcMar>
          </w:tcPr>
          <w:p>
            <w:r>
              <w:rPr>
                <w:sz w:val="19"/>
                <w:szCs w:val="19"/>
              </w:rPr>
              <w:t xml:space="preserve">Facility Type Name &amp; Code</w:t>
            </w:r>
          </w:p>
        </w:tc>
        <w:tc>
          <w:tcPr>
            <w:tcW w:type="dxa" w:w="2200"/>
            <w:shd w:fill="FFFFFF" w:val="clear"/>
            <w:tcMar>
              <w:top w:type="dxa" w:w="60"/>
              <w:left w:type="dxa" w:w="80"/>
              <w:bottom w:type="dxa" w:w="60"/>
              <w:right w:type="dxa" w:w="80"/>
            </w:tcMar>
          </w:tcPr>
          <w:p>
            <w:r>
              <w:rPr>
                <w:sz w:val="19"/>
                <w:szCs w:val="19"/>
              </w:rPr>
              <w:t xml:space="preserve">Yes</w:t>
            </w:r>
          </w:p>
        </w:tc>
        <w:tc>
          <w:tcPr>
            <w:tcW w:type="dxa" w:w="3300"/>
            <w:shd w:fill="FFFFFF" w:val="clear"/>
            <w:tcMar>
              <w:top w:type="dxa" w:w="60"/>
              <w:left w:type="dxa" w:w="80"/>
              <w:bottom w:type="dxa" w:w="60"/>
              <w:right w:type="dxa" w:w="80"/>
            </w:tcMar>
          </w:tcPr>
          <w:p>
            <w:r>
              <w:rPr>
                <w:sz w:val="19"/>
                <w:szCs w:val="19"/>
              </w:rPr>
              <w:t xml:space="preserve">Client-specific naming allowed</w:t>
            </w:r>
          </w:p>
        </w:tc>
      </w:tr>
      <w:tr>
        <w:tc>
          <w:tcPr>
            <w:tcW w:type="dxa" w:w="2800"/>
            <w:shd w:fill="DCE6F1" w:val="clear"/>
            <w:tcMar>
              <w:top w:type="dxa" w:w="60"/>
              <w:left w:type="dxa" w:w="80"/>
              <w:bottom w:type="dxa" w:w="60"/>
              <w:right w:type="dxa" w:w="80"/>
            </w:tcMar>
          </w:tcPr>
          <w:p>
            <w:r>
              <w:rPr>
                <w:sz w:val="19"/>
                <w:szCs w:val="19"/>
              </w:rPr>
              <w:t xml:space="preserve">Fund-Based / Non-Fund-Based</w:t>
            </w:r>
          </w:p>
        </w:tc>
        <w:tc>
          <w:tcPr>
            <w:tcW w:type="dxa" w:w="2200"/>
            <w:shd w:fill="DCE6F1" w:val="clear"/>
            <w:tcMar>
              <w:top w:type="dxa" w:w="60"/>
              <w:left w:type="dxa" w:w="80"/>
              <w:bottom w:type="dxa" w:w="60"/>
              <w:right w:type="dxa" w:w="80"/>
            </w:tcMar>
          </w:tcPr>
          <w:p>
            <w:r>
              <w:rPr>
                <w:sz w:val="19"/>
                <w:szCs w:val="19"/>
              </w:rPr>
              <w:t xml:space="preserve">Yes</w:t>
            </w:r>
          </w:p>
        </w:tc>
        <w:tc>
          <w:tcPr>
            <w:tcW w:type="dxa" w:w="3300"/>
            <w:shd w:fill="DCE6F1" w:val="clear"/>
            <w:tcMar>
              <w:top w:type="dxa" w:w="60"/>
              <w:left w:type="dxa" w:w="80"/>
              <w:bottom w:type="dxa" w:w="60"/>
              <w:right w:type="dxa" w:w="80"/>
            </w:tcMar>
          </w:tcPr>
          <w:p>
            <w:r>
              <w:rPr>
                <w:sz w:val="19"/>
                <w:szCs w:val="19"/>
              </w:rPr>
              <w:t xml:space="preserve">Determines base behavior</w:t>
            </w:r>
          </w:p>
        </w:tc>
      </w:tr>
      <w:tr>
        <w:tc>
          <w:tcPr>
            <w:tcW w:type="dxa" w:w="2800"/>
            <w:shd w:fill="FFFFFF" w:val="clear"/>
            <w:tcMar>
              <w:top w:type="dxa" w:w="60"/>
              <w:left w:type="dxa" w:w="80"/>
              <w:bottom w:type="dxa" w:w="60"/>
              <w:right w:type="dxa" w:w="80"/>
            </w:tcMar>
          </w:tcPr>
          <w:p>
            <w:r>
              <w:rPr>
                <w:sz w:val="19"/>
                <w:szCs w:val="19"/>
              </w:rPr>
              <w:t xml:space="preserve">Fixed or Revolving</w:t>
            </w:r>
          </w:p>
        </w:tc>
        <w:tc>
          <w:tcPr>
            <w:tcW w:type="dxa" w:w="2200"/>
            <w:shd w:fill="FFFFFF" w:val="clear"/>
            <w:tcMar>
              <w:top w:type="dxa" w:w="60"/>
              <w:left w:type="dxa" w:w="80"/>
              <w:bottom w:type="dxa" w:w="60"/>
              <w:right w:type="dxa" w:w="80"/>
            </w:tcMar>
          </w:tcPr>
          <w:p>
            <w:r>
              <w:rPr>
                <w:sz w:val="19"/>
                <w:szCs w:val="19"/>
              </w:rPr>
              <w:t xml:space="preserve">Yes — MUST be explicitly set per type</w:t>
            </w:r>
          </w:p>
        </w:tc>
        <w:tc>
          <w:tcPr>
            <w:tcW w:type="dxa" w:w="3300"/>
            <w:shd w:fill="FFFFFF" w:val="clear"/>
            <w:tcMar>
              <w:top w:type="dxa" w:w="60"/>
              <w:left w:type="dxa" w:w="80"/>
              <w:bottom w:type="dxa" w:w="60"/>
              <w:right w:type="dxa" w:w="80"/>
            </w:tcMar>
          </w:tcPr>
          <w:p>
            <w:r>
              <w:rPr>
                <w:sz w:val="19"/>
                <w:szCs w:val="19"/>
              </w:rPr>
              <w:t xml:space="preserve">Gap in reference engagement: non-fund-based products (LC/LG/FX/Margin) had no documented mapping. This field must never be left unset for any catalog entry.</w:t>
            </w:r>
          </w:p>
        </w:tc>
      </w:tr>
      <w:tr>
        <w:tc>
          <w:tcPr>
            <w:tcW w:type="dxa" w:w="2800"/>
            <w:shd w:fill="DCE6F1" w:val="clear"/>
            <w:tcMar>
              <w:top w:type="dxa" w:w="60"/>
              <w:left w:type="dxa" w:w="80"/>
              <w:bottom w:type="dxa" w:w="60"/>
              <w:right w:type="dxa" w:w="80"/>
            </w:tcMar>
          </w:tcPr>
          <w:p>
            <w:r>
              <w:rPr>
                <w:sz w:val="19"/>
                <w:szCs w:val="19"/>
              </w:rPr>
              <w:t xml:space="preserve">Amortized or Bullet (repayment default)</w:t>
            </w:r>
          </w:p>
        </w:tc>
        <w:tc>
          <w:tcPr>
            <w:tcW w:type="dxa" w:w="2200"/>
            <w:shd w:fill="DCE6F1" w:val="clear"/>
            <w:tcMar>
              <w:top w:type="dxa" w:w="60"/>
              <w:left w:type="dxa" w:w="80"/>
              <w:bottom w:type="dxa" w:w="60"/>
              <w:right w:type="dxa" w:w="80"/>
            </w:tcMar>
          </w:tcPr>
          <w:p>
            <w:r>
              <w:rPr>
                <w:sz w:val="19"/>
                <w:szCs w:val="19"/>
              </w:rPr>
              <w:t xml:space="preserve">Yes</w:t>
            </w:r>
          </w:p>
        </w:tc>
        <w:tc>
          <w:tcPr>
            <w:tcW w:type="dxa" w:w="3300"/>
            <w:shd w:fill="DCE6F1" w:val="clear"/>
            <w:tcMar>
              <w:top w:type="dxa" w:w="60"/>
              <w:left w:type="dxa" w:w="80"/>
              <w:bottom w:type="dxa" w:w="60"/>
              <w:right w:type="dxa" w:w="80"/>
            </w:tcMar>
          </w:tcPr>
          <w:p>
            <w:r>
              <w:rPr>
                <w:sz w:val="19"/>
                <w:szCs w:val="19"/>
              </w:rPr>
              <w:t xml:space="preserve">Typically derives from Fixed/Revolving, but must be overridable with justification</w:t>
            </w:r>
          </w:p>
        </w:tc>
      </w:tr>
      <w:tr>
        <w:tc>
          <w:tcPr>
            <w:tcW w:type="dxa" w:w="2800"/>
            <w:shd w:fill="FFFFFF" w:val="clear"/>
            <w:tcMar>
              <w:top w:type="dxa" w:w="60"/>
              <w:left w:type="dxa" w:w="80"/>
              <w:bottom w:type="dxa" w:w="60"/>
              <w:right w:type="dxa" w:w="80"/>
            </w:tcMar>
          </w:tcPr>
          <w:p>
            <w:r>
              <w:rPr>
                <w:sz w:val="19"/>
                <w:szCs w:val="19"/>
              </w:rPr>
              <w:t xml:space="preserve">Typical Tenor Range</w:t>
            </w:r>
          </w:p>
        </w:tc>
        <w:tc>
          <w:tcPr>
            <w:tcW w:type="dxa" w:w="2200"/>
            <w:shd w:fill="FFFFFF" w:val="clear"/>
            <w:tcMar>
              <w:top w:type="dxa" w:w="60"/>
              <w:left w:type="dxa" w:w="80"/>
              <w:bottom w:type="dxa" w:w="60"/>
              <w:right w:type="dxa" w:w="80"/>
            </w:tcMar>
          </w:tcPr>
          <w:p>
            <w:r>
              <w:rPr>
                <w:sz w:val="19"/>
                <w:szCs w:val="19"/>
              </w:rPr>
              <w:t xml:space="preserve">Recommended</w:t>
            </w:r>
          </w:p>
        </w:tc>
        <w:tc>
          <w:tcPr>
            <w:tcW w:type="dxa" w:w="3300"/>
            <w:shd w:fill="FFFFFF" w:val="clear"/>
            <w:tcMar>
              <w:top w:type="dxa" w:w="60"/>
              <w:left w:type="dxa" w:w="80"/>
              <w:bottom w:type="dxa" w:w="60"/>
              <w:right w:type="dxa" w:w="80"/>
            </w:tcMar>
          </w:tcPr>
          <w:p>
            <w:r>
              <w:rPr>
                <w:sz w:val="19"/>
                <w:szCs w:val="19"/>
              </w:rPr>
              <w:t xml:space="preserve">Used for a tenor-vs-asset-life sanity check</w:t>
            </w:r>
          </w:p>
        </w:tc>
      </w:tr>
    </w:tbl>
    <w:p>
      <w:pPr>
        <w:pStyle w:val="Heading2"/>
        <w:keepNext/>
        <w:spacing w:after="140" w:before="320"/>
      </w:pPr>
      <w:r>
        <w:rPr>
          <w:b/>
          <w:bCs/>
          <w:color w:val="2E5496"/>
          <w:sz w:val="26"/>
          <w:szCs w:val="26"/>
        </w:rPr>
        <w:t xml:space="preserve">5.2 Repayment Structure Rule</w:t>
      </w:r>
    </w:p>
    <w:p>
      <w:pPr>
        <w:spacing w:after="160"/>
      </w:pPr>
      <w:r>
        <w:rPr>
          <w:sz w:val="21"/>
          <w:szCs w:val="21"/>
        </w:rPr>
        <w:t xml:space="preserve">Default rule (overridable per client policy): Fixed facilities default to Amortized repayment; Revolving facilities default to Bullet. This default must be stated explicitly in configuration, not assumed in code.</w:t>
      </w:r>
    </w:p>
    <w:p>
      <w:pPr>
        <w:pStyle w:val="Heading1"/>
        <w:pageBreakBefore/>
        <w:spacing w:after="200" w:before="400"/>
      </w:pPr>
      <w:r>
        <w:rPr>
          <w:b/>
          <w:bCs/>
          <w:color w:val="1F3864"/>
          <w:sz w:val="32"/>
          <w:szCs w:val="32"/>
        </w:rPr>
        <w:t xml:space="preserve">6. Collateral &amp; Security Management</w:t>
      </w:r>
    </w:p>
    <w:p>
      <w:pPr>
        <w:pStyle w:val="Heading2"/>
        <w:keepNext/>
        <w:spacing w:after="140" w:before="320"/>
      </w:pPr>
      <w:r>
        <w:rPr>
          <w:b/>
          <w:bCs/>
          <w:color w:val="2E5496"/>
          <w:sz w:val="26"/>
          <w:szCs w:val="26"/>
        </w:rPr>
        <w:t xml:space="preserve">6.1 Collateral Lifecycle</w:t>
      </w:r>
    </w:p>
    <w:p>
      <w:pPr>
        <w:pStyle w:val="ListParagraph"/>
        <w:numPr>
          <w:ilvl w:val="0"/>
          <w:numId w:val="2"/>
        </w:numPr>
        <w:spacing w:after="80"/>
      </w:pPr>
      <w:r>
        <w:rPr>
          <w:sz w:val="21"/>
          <w:szCs w:val="21"/>
        </w:rPr>
        <w:t xml:space="preserve">Creation — collateral captured, valued by an approved valuer, legally charged.</w:t>
      </w:r>
    </w:p>
    <w:p>
      <w:pPr>
        <w:pStyle w:val="ListParagraph"/>
        <w:numPr>
          <w:ilvl w:val="0"/>
          <w:numId w:val="2"/>
        </w:numPr>
        <w:spacing w:after="80"/>
      </w:pPr>
      <w:r>
        <w:rPr>
          <w:sz w:val="21"/>
          <w:szCs w:val="21"/>
        </w:rPr>
        <w:t xml:space="preserve">Revaluation — on a policy-defined cycle (by collateral type); stale valuations must be system-flagged, not silently carried forward.</w:t>
      </w:r>
    </w:p>
    <w:p>
      <w:pPr>
        <w:pStyle w:val="ListParagraph"/>
        <w:numPr>
          <w:ilvl w:val="0"/>
          <w:numId w:val="2"/>
        </w:numPr>
        <w:spacing w:after="80"/>
      </w:pPr>
      <w:r>
        <w:rPr>
          <w:sz w:val="21"/>
          <w:szCs w:val="21"/>
        </w:rPr>
        <w:t xml:space="preserve">Coverage Monitoring — see 6.2.</w:t>
      </w:r>
    </w:p>
    <w:p>
      <w:pPr>
        <w:pStyle w:val="ListParagraph"/>
        <w:numPr>
          <w:ilvl w:val="0"/>
          <w:numId w:val="2"/>
        </w:numPr>
        <w:spacing w:after="80"/>
      </w:pPr>
      <w:r>
        <w:rPr>
          <w:sz w:val="21"/>
          <w:szCs w:val="21"/>
        </w:rPr>
        <w:t xml:space="preserve">Amendment / Partial Release — gated by an explicit Proposed Action field (Maintain / Release / Amend), each with its own sub-workflow.</w:t>
      </w:r>
    </w:p>
    <w:p>
      <w:pPr>
        <w:pStyle w:val="ListParagraph"/>
        <w:numPr>
          <w:ilvl w:val="0"/>
          <w:numId w:val="2"/>
        </w:numPr>
        <w:spacing w:after="80"/>
      </w:pPr>
      <w:r>
        <w:rPr>
          <w:sz w:val="21"/>
          <w:szCs w:val="21"/>
        </w:rPr>
        <w:t xml:space="preserve">Closure / Release — charge vacated, documentation issued, linked facility reconciled.</w:t>
      </w:r>
    </w:p>
    <w:p>
      <w:pPr>
        <w:pStyle w:val="Heading2"/>
        <w:keepNext/>
        <w:spacing w:after="140" w:before="320"/>
      </w:pPr>
      <w:r>
        <w:rPr>
          <w:b/>
          <w:bCs/>
          <w:color w:val="2E5496"/>
          <w:sz w:val="26"/>
          <w:szCs w:val="26"/>
        </w:rPr>
        <w:t xml:space="preserve">6.2 Coverage Ratio Framework — Explicit Formulas</w:t>
      </w:r>
    </w:p>
    <w:p>
      <w:pPr>
        <w:spacing w:after="160"/>
      </w:pPr>
      <w:r>
        <w:rPr>
          <w:sz w:val="21"/>
          <w:szCs w:val="21"/>
        </w:rPr>
        <w:t xml:space="preserve">This section exists specifically to close a gap found in the reference engagement, where three related coverage-ratio fields appeared multiple times with no stated formula and contradictory editability settings. Every implementation of this platform must define all three, explicitly, in one place: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4600"/>
        <w:gridCol w:w="2100"/>
      </w:tblGrid>
      <w:tr>
        <w:trPr>
          <w:tblHeader/>
        </w:trPr>
        <w:tc>
          <w:tcPr>
            <w:tcW w:type="dxa" w:w="2600"/>
            <w:shd w:fill="1F3864" w:val="clear"/>
            <w:tcMar>
              <w:top w:type="dxa" w:w="60"/>
              <w:left w:type="dxa" w:w="80"/>
              <w:bottom w:type="dxa" w:w="60"/>
              <w:right w:type="dxa" w:w="80"/>
            </w:tcMar>
          </w:tcPr>
          <w:p>
            <w:r>
              <w:rPr>
                <w:b/>
                <w:bCs/>
                <w:color w:val="FFFFFF"/>
                <w:sz w:val="19"/>
                <w:szCs w:val="19"/>
              </w:rPr>
              <w:t xml:space="preserve">Field</w:t>
            </w:r>
          </w:p>
        </w:tc>
        <w:tc>
          <w:tcPr>
            <w:tcW w:type="dxa" w:w="4600"/>
            <w:shd w:fill="1F3864" w:val="clear"/>
            <w:tcMar>
              <w:top w:type="dxa" w:w="60"/>
              <w:left w:type="dxa" w:w="80"/>
              <w:bottom w:type="dxa" w:w="60"/>
              <w:right w:type="dxa" w:w="80"/>
            </w:tcMar>
          </w:tcPr>
          <w:p>
            <w:r>
              <w:rPr>
                <w:b/>
                <w:bCs/>
                <w:color w:val="FFFFFF"/>
                <w:sz w:val="19"/>
                <w:szCs w:val="19"/>
              </w:rPr>
              <w:t xml:space="preserve">Formula / Source</w:t>
            </w:r>
          </w:p>
        </w:tc>
        <w:tc>
          <w:tcPr>
            <w:tcW w:type="dxa" w:w="2100"/>
            <w:shd w:fill="1F3864" w:val="clear"/>
            <w:tcMar>
              <w:top w:type="dxa" w:w="60"/>
              <w:left w:type="dxa" w:w="80"/>
              <w:bottom w:type="dxa" w:w="60"/>
              <w:right w:type="dxa" w:w="80"/>
            </w:tcMar>
          </w:tcPr>
          <w:p>
            <w:r>
              <w:rPr>
                <w:b/>
                <w:bCs/>
                <w:color w:val="FFFFFF"/>
                <w:sz w:val="19"/>
                <w:szCs w:val="19"/>
              </w:rPr>
              <w:t xml:space="preserve">Editable?</w:t>
            </w:r>
          </w:p>
        </w:tc>
      </w:tr>
      <w:tr>
        <w:tc>
          <w:tcPr>
            <w:tcW w:type="dxa" w:w="2600"/>
            <w:shd w:fill="FFFFFF" w:val="clear"/>
            <w:tcMar>
              <w:top w:type="dxa" w:w="60"/>
              <w:left w:type="dxa" w:w="80"/>
              <w:bottom w:type="dxa" w:w="60"/>
              <w:right w:type="dxa" w:w="80"/>
            </w:tcMar>
          </w:tcPr>
          <w:p>
            <w:r>
              <w:rPr>
                <w:sz w:val="19"/>
                <w:szCs w:val="19"/>
              </w:rPr>
              <w:t xml:space="preserve">Existing / Proposed Coverage Ratio</w:t>
            </w:r>
          </w:p>
        </w:tc>
        <w:tc>
          <w:tcPr>
            <w:tcW w:type="dxa" w:w="4600"/>
            <w:shd w:fill="FFFFFF" w:val="clear"/>
            <w:tcMar>
              <w:top w:type="dxa" w:w="60"/>
              <w:left w:type="dxa" w:w="80"/>
              <w:bottom w:type="dxa" w:w="60"/>
              <w:right w:type="dxa" w:w="80"/>
            </w:tcMar>
          </w:tcPr>
          <w:p>
            <w:r>
              <w:rPr>
                <w:sz w:val="19"/>
                <w:szCs w:val="19"/>
              </w:rPr>
              <w:t xml:space="preserve">Collateral Value ÷ Facility Value (existing and proposed computed separately)</w:t>
            </w:r>
          </w:p>
        </w:tc>
        <w:tc>
          <w:tcPr>
            <w:tcW w:type="dxa" w:w="2100"/>
            <w:shd w:fill="FFFFFF" w:val="clear"/>
            <w:tcMar>
              <w:top w:type="dxa" w:w="60"/>
              <w:left w:type="dxa" w:w="80"/>
              <w:bottom w:type="dxa" w:w="60"/>
              <w:right w:type="dxa" w:w="80"/>
            </w:tcMar>
          </w:tcPr>
          <w:p>
            <w:r>
              <w:rPr>
                <w:sz w:val="19"/>
                <w:szCs w:val="19"/>
              </w:rPr>
              <w:t xml:space="preserve">No — system-calculated</w:t>
            </w:r>
          </w:p>
        </w:tc>
      </w:tr>
      <w:tr>
        <w:tc>
          <w:tcPr>
            <w:tcW w:type="dxa" w:w="2600"/>
            <w:shd w:fill="DCE6F1" w:val="clear"/>
            <w:tcMar>
              <w:top w:type="dxa" w:w="60"/>
              <w:left w:type="dxa" w:w="80"/>
              <w:bottom w:type="dxa" w:w="60"/>
              <w:right w:type="dxa" w:w="80"/>
            </w:tcMar>
          </w:tcPr>
          <w:p>
            <w:r>
              <w:rPr>
                <w:sz w:val="19"/>
                <w:szCs w:val="19"/>
              </w:rPr>
              <w:t xml:space="preserve">Minimum Contractual Coverage Ratio</w:t>
            </w:r>
          </w:p>
        </w:tc>
        <w:tc>
          <w:tcPr>
            <w:tcW w:type="dxa" w:w="4600"/>
            <w:shd w:fill="DCE6F1" w:val="clear"/>
            <w:tcMar>
              <w:top w:type="dxa" w:w="60"/>
              <w:left w:type="dxa" w:w="80"/>
              <w:bottom w:type="dxa" w:w="60"/>
              <w:right w:type="dxa" w:w="80"/>
            </w:tcMar>
          </w:tcPr>
          <w:p>
            <w:r>
              <w:rPr>
                <w:sz w:val="19"/>
                <w:szCs w:val="19"/>
              </w:rPr>
              <w:t xml:space="preserve">The covenant-stipulated floor from the facility agreement, set at origination</w:t>
            </w:r>
          </w:p>
        </w:tc>
        <w:tc>
          <w:tcPr>
            <w:tcW w:type="dxa" w:w="2100"/>
            <w:shd w:fill="DCE6F1" w:val="clear"/>
            <w:tcMar>
              <w:top w:type="dxa" w:w="60"/>
              <w:left w:type="dxa" w:w="80"/>
              <w:bottom w:type="dxa" w:w="60"/>
              <w:right w:type="dxa" w:w="80"/>
            </w:tcMar>
          </w:tcPr>
          <w:p>
            <w:r>
              <w:rPr>
                <w:sz w:val="19"/>
                <w:szCs w:val="19"/>
              </w:rPr>
              <w:t xml:space="preserve">No after origination — changes only via a formal covenant amendment</w:t>
            </w:r>
          </w:p>
        </w:tc>
      </w:tr>
      <w:tr>
        <w:tc>
          <w:tcPr>
            <w:tcW w:type="dxa" w:w="2600"/>
            <w:shd w:fill="FFFFFF" w:val="clear"/>
            <w:tcMar>
              <w:top w:type="dxa" w:w="60"/>
              <w:left w:type="dxa" w:w="80"/>
              <w:bottom w:type="dxa" w:w="60"/>
              <w:right w:type="dxa" w:w="80"/>
            </w:tcMar>
          </w:tcPr>
          <w:p>
            <w:r>
              <w:rPr>
                <w:sz w:val="19"/>
                <w:szCs w:val="19"/>
              </w:rPr>
              <w:t xml:space="preserve">Internally Accepted Coverage Ratio</w:t>
            </w:r>
          </w:p>
        </w:tc>
        <w:tc>
          <w:tcPr>
            <w:tcW w:type="dxa" w:w="4600"/>
            <w:shd w:fill="FFFFFF" w:val="clear"/>
            <w:tcMar>
              <w:top w:type="dxa" w:w="60"/>
              <w:left w:type="dxa" w:w="80"/>
              <w:bottom w:type="dxa" w:w="60"/>
              <w:right w:type="dxa" w:w="80"/>
            </w:tcMar>
          </w:tcPr>
          <w:p>
            <w:r>
              <w:rPr>
                <w:sz w:val="19"/>
                <w:szCs w:val="19"/>
              </w:rPr>
              <w:t xml:space="preserve">Set only via an explicit ‘Accept Shortfall’ action/workflow when Actual &lt; Minimum Contractual; requires a named approval level</w:t>
            </w:r>
          </w:p>
        </w:tc>
        <w:tc>
          <w:tcPr>
            <w:tcW w:type="dxa" w:w="2100"/>
            <w:shd w:fill="FFFFFF" w:val="clear"/>
            <w:tcMar>
              <w:top w:type="dxa" w:w="60"/>
              <w:left w:type="dxa" w:w="80"/>
              <w:bottom w:type="dxa" w:w="60"/>
              <w:right w:type="dxa" w:w="80"/>
            </w:tcMar>
          </w:tcPr>
          <w:p>
            <w:r>
              <w:rPr>
                <w:sz w:val="19"/>
                <w:szCs w:val="19"/>
              </w:rPr>
              <w:t xml:space="preserve">No direct edit — only via the Accept Shortfall workflow, which must be logged</w:t>
            </w:r>
          </w:p>
        </w:tc>
      </w:tr>
    </w:tbl>
    <w:p>
      <w:pPr>
        <w:spacing w:after="160"/>
        <w:ind w:left="360"/>
      </w:pPr>
      <w:r>
        <w:rPr>
          <w:i/>
          <w:iCs/>
          <w:color w:val="595959"/>
          <w:sz w:val="20"/>
          <w:szCs w:val="20"/>
        </w:rPr>
        <w:t xml:space="preserve">Rule: if Actual Coverage Ratio &lt; Minimum Contractual Coverage Ratio, the system must block normal submission and require the Accept Shortfall workflow with a named approver and documented justification — never allow a silent pass-through.</w:t>
      </w:r>
    </w:p>
    <w:p>
      <w:pPr>
        <w:pStyle w:val="Heading1"/>
        <w:pageBreakBefore/>
        <w:spacing w:after="200" w:before="400"/>
      </w:pPr>
      <w:r>
        <w:rPr>
          <w:b/>
          <w:bCs/>
          <w:color w:val="1F3864"/>
          <w:sz w:val="32"/>
          <w:szCs w:val="32"/>
        </w:rPr>
        <w:t xml:space="preserve">7. Pricing &amp; Profitability Framework</w:t>
      </w:r>
    </w:p>
    <w:p>
      <w:pPr>
        <w:pStyle w:val="Heading2"/>
        <w:keepNext/>
        <w:spacing w:after="140" w:before="320"/>
      </w:pPr>
      <w:r>
        <w:rPr>
          <w:b/>
          <w:bCs/>
          <w:color w:val="2E5496"/>
          <w:sz w:val="26"/>
          <w:szCs w:val="26"/>
        </w:rPr>
        <w:t xml:space="preserve">7.1 Existing vs. Proposed Pattern</w:t>
      </w:r>
    </w:p>
    <w:p>
      <w:pPr>
        <w:spacing w:after="160"/>
      </w:pPr>
      <w:r>
        <w:rPr>
          <w:sz w:val="21"/>
          <w:szCs w:val="21"/>
        </w:rPr>
        <w:t xml:space="preserve">Every priced attribute (base rate, margin, fees) is captured as an Existing/Proposed pair. A justification field is mandatory whenever Proposed is less favorable to the bank than Existing (lower rate, waived fee) — this pattern worked well in the reference engagement and is retained as-is.</w:t>
      </w:r>
    </w:p>
    <w:p>
      <w:pPr>
        <w:pStyle w:val="Heading2"/>
        <w:keepNext/>
        <w:spacing w:after="140" w:before="320"/>
      </w:pPr>
      <w:r>
        <w:rPr>
          <w:b/>
          <w:bCs/>
          <w:color w:val="2E5496"/>
          <w:sz w:val="26"/>
          <w:szCs w:val="26"/>
        </w:rPr>
        <w:t xml:space="preserve">7.2 ROC / RAROC Calculation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6300"/>
      </w:tblGrid>
      <w:tr>
        <w:trPr>
          <w:tblHeader/>
        </w:trPr>
        <w:tc>
          <w:tcPr>
            <w:tcW w:type="dxa" w:w="3000"/>
            <w:shd w:fill="1F3864" w:val="clear"/>
            <w:tcMar>
              <w:top w:type="dxa" w:w="60"/>
              <w:left w:type="dxa" w:w="80"/>
              <w:bottom w:type="dxa" w:w="60"/>
              <w:right w:type="dxa" w:w="80"/>
            </w:tcMar>
          </w:tcPr>
          <w:p>
            <w:r>
              <w:rPr>
                <w:b/>
                <w:bCs/>
                <w:color w:val="FFFFFF"/>
                <w:sz w:val="19"/>
                <w:szCs w:val="19"/>
              </w:rPr>
              <w:t xml:space="preserve">Metric</w:t>
            </w:r>
          </w:p>
        </w:tc>
        <w:tc>
          <w:tcPr>
            <w:tcW w:type="dxa" w:w="6300"/>
            <w:shd w:fill="1F3864" w:val="clear"/>
            <w:tcMar>
              <w:top w:type="dxa" w:w="60"/>
              <w:left w:type="dxa" w:w="80"/>
              <w:bottom w:type="dxa" w:w="60"/>
              <w:right w:type="dxa" w:w="80"/>
            </w:tcMar>
          </w:tcPr>
          <w:p>
            <w:r>
              <w:rPr>
                <w:b/>
                <w:bCs/>
                <w:color w:val="FFFFFF"/>
                <w:sz w:val="19"/>
                <w:szCs w:val="19"/>
              </w:rPr>
              <w:t xml:space="preserve">Formula</w:t>
            </w:r>
          </w:p>
        </w:tc>
      </w:tr>
      <w:tr>
        <w:tc>
          <w:tcPr>
            <w:tcW w:type="dxa" w:w="3000"/>
            <w:shd w:fill="FFFFFF" w:val="clear"/>
            <w:tcMar>
              <w:top w:type="dxa" w:w="60"/>
              <w:left w:type="dxa" w:w="80"/>
              <w:bottom w:type="dxa" w:w="60"/>
              <w:right w:type="dxa" w:w="80"/>
            </w:tcMar>
          </w:tcPr>
          <w:p>
            <w:r>
              <w:rPr>
                <w:sz w:val="19"/>
                <w:szCs w:val="19"/>
              </w:rPr>
              <w:t xml:space="preserve">Weight</w:t>
            </w:r>
          </w:p>
        </w:tc>
        <w:tc>
          <w:tcPr>
            <w:tcW w:type="dxa" w:w="6300"/>
            <w:shd w:fill="FFFFFF" w:val="clear"/>
            <w:tcMar>
              <w:top w:type="dxa" w:w="60"/>
              <w:left w:type="dxa" w:w="80"/>
              <w:bottom w:type="dxa" w:w="60"/>
              <w:right w:type="dxa" w:w="80"/>
            </w:tcMar>
          </w:tcPr>
          <w:p>
            <w:r>
              <w:rPr>
                <w:sz w:val="19"/>
                <w:szCs w:val="19"/>
              </w:rPr>
              <w:t xml:space="preserve">(Facility Limit Amount ÷ Group Total Limit Amount) × 100</w:t>
            </w:r>
          </w:p>
        </w:tc>
      </w:tr>
      <w:tr>
        <w:tc>
          <w:tcPr>
            <w:tcW w:type="dxa" w:w="3000"/>
            <w:shd w:fill="DCE6F1" w:val="clear"/>
            <w:tcMar>
              <w:top w:type="dxa" w:w="60"/>
              <w:left w:type="dxa" w:w="80"/>
              <w:bottom w:type="dxa" w:w="60"/>
              <w:right w:type="dxa" w:w="80"/>
            </w:tcMar>
          </w:tcPr>
          <w:p>
            <w:r>
              <w:rPr>
                <w:sz w:val="19"/>
                <w:szCs w:val="19"/>
              </w:rPr>
              <w:t xml:space="preserve">Weighted ROC</w:t>
            </w:r>
          </w:p>
        </w:tc>
        <w:tc>
          <w:tcPr>
            <w:tcW w:type="dxa" w:w="6300"/>
            <w:shd w:fill="DCE6F1" w:val="clear"/>
            <w:tcMar>
              <w:top w:type="dxa" w:w="60"/>
              <w:left w:type="dxa" w:w="80"/>
              <w:bottom w:type="dxa" w:w="60"/>
              <w:right w:type="dxa" w:w="80"/>
            </w:tcMar>
          </w:tcPr>
          <w:p>
            <w:r>
              <w:rPr>
                <w:sz w:val="19"/>
                <w:szCs w:val="19"/>
              </w:rPr>
              <w:t xml:space="preserve">Weight × ROC ÷ 100</w:t>
            </w:r>
          </w:p>
        </w:tc>
      </w:tr>
      <w:tr>
        <w:tc>
          <w:tcPr>
            <w:tcW w:type="dxa" w:w="3000"/>
            <w:shd w:fill="FFFFFF" w:val="clear"/>
            <w:tcMar>
              <w:top w:type="dxa" w:w="60"/>
              <w:left w:type="dxa" w:w="80"/>
              <w:bottom w:type="dxa" w:w="60"/>
              <w:right w:type="dxa" w:w="80"/>
            </w:tcMar>
          </w:tcPr>
          <w:p>
            <w:r>
              <w:rPr>
                <w:sz w:val="19"/>
                <w:szCs w:val="19"/>
              </w:rPr>
              <w:t xml:space="preserve">Weighted RAROC</w:t>
            </w:r>
          </w:p>
        </w:tc>
        <w:tc>
          <w:tcPr>
            <w:tcW w:type="dxa" w:w="6300"/>
            <w:shd w:fill="FFFFFF" w:val="clear"/>
            <w:tcMar>
              <w:top w:type="dxa" w:w="60"/>
              <w:left w:type="dxa" w:w="80"/>
              <w:bottom w:type="dxa" w:w="60"/>
              <w:right w:type="dxa" w:w="80"/>
            </w:tcMar>
          </w:tcPr>
          <w:p>
            <w:r>
              <w:rPr>
                <w:sz w:val="19"/>
                <w:szCs w:val="19"/>
              </w:rPr>
              <w:t xml:space="preserve">Weight × RAROC ÷ 100</w:t>
            </w:r>
          </w:p>
        </w:tc>
      </w:tr>
    </w:tbl>
    <w:p>
      <w:pPr>
        <w:spacing w:after="160"/>
        <w:ind w:left="360"/>
      </w:pPr>
      <w:r>
        <w:rPr>
          <w:i/>
          <w:iCs/>
          <w:color w:val="595959"/>
          <w:sz w:val="20"/>
          <w:szCs w:val="20"/>
        </w:rPr>
        <w:t xml:space="preserve">‘Group Total Limit Amount’ definition (resolved): the full borrower group's exposure — Cash + Non-Cash, excluding FX — auto-pooled from the system/core-banking adapter across every entity in the group, not restricted to whichever companies happen to appear in the current request. This was initially ambiguous in the reference engagement's primary spec but was confirmed unambiguously in a supporting worksheet. Lesson: a formula's inputs must be defined in the SAME document as the formula itself — don't let a critical definition live only in a separate, easily-missed workbook tab.</w:t>
      </w:r>
    </w:p>
    <w:p>
      <w:pPr>
        <w:pStyle w:val="Heading1"/>
        <w:pageBreakBefore/>
        <w:spacing w:after="200" w:before="400"/>
      </w:pPr>
      <w:r>
        <w:rPr>
          <w:b/>
          <w:bCs/>
          <w:color w:val="1F3864"/>
          <w:sz w:val="32"/>
          <w:szCs w:val="32"/>
        </w:rPr>
        <w:t xml:space="preserve">8. Validation Framework (Design Methodology)</w:t>
      </w:r>
    </w:p>
    <w:p>
      <w:pPr>
        <w:spacing w:after="160"/>
      </w:pPr>
      <w:r>
        <w:rPr>
          <w:sz w:val="21"/>
          <w:szCs w:val="21"/>
        </w:rPr>
        <w:t xml:space="preserve">This section is a reusable methodology, not a fixed rule set — apply it to every field in every client's configured data model.</w:t>
      </w:r>
    </w:p>
    <w:p>
      <w:pPr>
        <w:pStyle w:val="Heading2"/>
        <w:keepNext/>
        <w:spacing w:after="140" w:before="320"/>
      </w:pPr>
      <w:r>
        <w:rPr>
          <w:b/>
          <w:bCs/>
          <w:color w:val="2E5496"/>
          <w:sz w:val="26"/>
          <w:szCs w:val="26"/>
        </w:rPr>
        <w:t xml:space="preserve">8.1 Field Classification</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400"/>
      </w:tblGrid>
      <w:tr>
        <w:trPr>
          <w:tblHeader/>
        </w:trPr>
        <w:tc>
          <w:tcPr>
            <w:tcW w:type="dxa" w:w="2200"/>
            <w:shd w:fill="1F3864" w:val="clear"/>
            <w:tcMar>
              <w:top w:type="dxa" w:w="60"/>
              <w:left w:type="dxa" w:w="80"/>
              <w:bottom w:type="dxa" w:w="60"/>
              <w:right w:type="dxa" w:w="80"/>
            </w:tcMar>
          </w:tcPr>
          <w:p>
            <w:r>
              <w:rPr>
                <w:b/>
                <w:bCs/>
                <w:color w:val="FFFFFF"/>
                <w:sz w:val="19"/>
                <w:szCs w:val="19"/>
              </w:rPr>
              <w:t xml:space="preserve">Category</w:t>
            </w:r>
          </w:p>
        </w:tc>
        <w:tc>
          <w:tcPr>
            <w:tcW w:type="dxa" w:w="3300"/>
            <w:shd w:fill="1F3864" w:val="clear"/>
            <w:tcMar>
              <w:top w:type="dxa" w:w="60"/>
              <w:left w:type="dxa" w:w="80"/>
              <w:bottom w:type="dxa" w:w="60"/>
              <w:right w:type="dxa" w:w="80"/>
            </w:tcMar>
          </w:tcPr>
          <w:p>
            <w:r>
              <w:rPr>
                <w:b/>
                <w:bCs/>
                <w:color w:val="FFFFFF"/>
                <w:sz w:val="19"/>
                <w:szCs w:val="19"/>
              </w:rPr>
              <w:t xml:space="preserve">Definition</w:t>
            </w:r>
          </w:p>
        </w:tc>
        <w:tc>
          <w:tcPr>
            <w:tcW w:type="dxa" w:w="3400"/>
            <w:shd w:fill="1F3864" w:val="clear"/>
            <w:tcMar>
              <w:top w:type="dxa" w:w="60"/>
              <w:left w:type="dxa" w:w="80"/>
              <w:bottom w:type="dxa" w:w="60"/>
              <w:right w:type="dxa" w:w="80"/>
            </w:tcMar>
          </w:tcPr>
          <w:p>
            <w:r>
              <w:rPr>
                <w:b/>
                <w:bCs/>
                <w:color w:val="FFFFFF"/>
                <w:sz w:val="19"/>
                <w:szCs w:val="19"/>
              </w:rPr>
              <w:t xml:space="preserve">Documentation Requirement</w:t>
            </w:r>
          </w:p>
        </w:tc>
      </w:tr>
      <w:tr>
        <w:tc>
          <w:tcPr>
            <w:tcW w:type="dxa" w:w="2200"/>
            <w:shd w:fill="FFFFFF" w:val="clear"/>
            <w:tcMar>
              <w:top w:type="dxa" w:w="60"/>
              <w:left w:type="dxa" w:w="80"/>
              <w:bottom w:type="dxa" w:w="60"/>
              <w:right w:type="dxa" w:w="80"/>
            </w:tcMar>
          </w:tcPr>
          <w:p>
            <w:r>
              <w:rPr>
                <w:sz w:val="19"/>
                <w:szCs w:val="19"/>
              </w:rPr>
              <w:t xml:space="preserve">Manual</w:t>
            </w:r>
          </w:p>
        </w:tc>
        <w:tc>
          <w:tcPr>
            <w:tcW w:type="dxa" w:w="3300"/>
            <w:shd w:fill="FFFFFF" w:val="clear"/>
            <w:tcMar>
              <w:top w:type="dxa" w:w="60"/>
              <w:left w:type="dxa" w:w="80"/>
              <w:bottom w:type="dxa" w:w="60"/>
              <w:right w:type="dxa" w:w="80"/>
            </w:tcMar>
          </w:tcPr>
          <w:p>
            <w:r>
              <w:rPr>
                <w:sz w:val="19"/>
                <w:szCs w:val="19"/>
              </w:rPr>
              <w:t xml:space="preserve">User-entered, no system source</w:t>
            </w:r>
          </w:p>
        </w:tc>
        <w:tc>
          <w:tcPr>
            <w:tcW w:type="dxa" w:w="3400"/>
            <w:shd w:fill="FFFFFF" w:val="clear"/>
            <w:tcMar>
              <w:top w:type="dxa" w:w="60"/>
              <w:left w:type="dxa" w:w="80"/>
              <w:bottom w:type="dxa" w:w="60"/>
              <w:right w:type="dxa" w:w="80"/>
            </w:tcMar>
          </w:tcPr>
          <w:p>
            <w:r>
              <w:rPr>
                <w:sz w:val="19"/>
                <w:szCs w:val="19"/>
              </w:rPr>
              <w:t xml:space="preserve">State any format/range constraint explicitly</w:t>
            </w:r>
          </w:p>
        </w:tc>
      </w:tr>
      <w:tr>
        <w:tc>
          <w:tcPr>
            <w:tcW w:type="dxa" w:w="2200"/>
            <w:shd w:fill="DCE6F1" w:val="clear"/>
            <w:tcMar>
              <w:top w:type="dxa" w:w="60"/>
              <w:left w:type="dxa" w:w="80"/>
              <w:bottom w:type="dxa" w:w="60"/>
              <w:right w:type="dxa" w:w="80"/>
            </w:tcMar>
          </w:tcPr>
          <w:p>
            <w:r>
              <w:rPr>
                <w:sz w:val="19"/>
                <w:szCs w:val="19"/>
              </w:rPr>
              <w:t xml:space="preserve">Integrated</w:t>
            </w:r>
          </w:p>
        </w:tc>
        <w:tc>
          <w:tcPr>
            <w:tcW w:type="dxa" w:w="3300"/>
            <w:shd w:fill="DCE6F1" w:val="clear"/>
            <w:tcMar>
              <w:top w:type="dxa" w:w="60"/>
              <w:left w:type="dxa" w:w="80"/>
              <w:bottom w:type="dxa" w:w="60"/>
              <w:right w:type="dxa" w:w="80"/>
            </w:tcMar>
          </w:tcPr>
          <w:p>
            <w:r>
              <w:rPr>
                <w:sz w:val="19"/>
                <w:szCs w:val="19"/>
              </w:rPr>
              <w:t xml:space="preserve">Sourced from an external or upstream system</w:t>
            </w:r>
          </w:p>
        </w:tc>
        <w:tc>
          <w:tcPr>
            <w:tcW w:type="dxa" w:w="3400"/>
            <w:shd w:fill="DCE6F1" w:val="clear"/>
            <w:tcMar>
              <w:top w:type="dxa" w:w="60"/>
              <w:left w:type="dxa" w:w="80"/>
              <w:bottom w:type="dxa" w:w="60"/>
              <w:right w:type="dxa" w:w="80"/>
            </w:tcMar>
          </w:tcPr>
          <w:p>
            <w:r>
              <w:rPr>
                <w:sz w:val="19"/>
                <w:szCs w:val="19"/>
              </w:rPr>
              <w:t xml:space="preserve">MUST name the specific source system — never leave as a bare ‘Integrated’ tag</w:t>
            </w:r>
          </w:p>
        </w:tc>
      </w:tr>
      <w:tr>
        <w:tc>
          <w:tcPr>
            <w:tcW w:type="dxa" w:w="2200"/>
            <w:shd w:fill="FFFFFF" w:val="clear"/>
            <w:tcMar>
              <w:top w:type="dxa" w:w="60"/>
              <w:left w:type="dxa" w:w="80"/>
              <w:bottom w:type="dxa" w:w="60"/>
              <w:right w:type="dxa" w:w="80"/>
            </w:tcMar>
          </w:tcPr>
          <w:p>
            <w:r>
              <w:rPr>
                <w:sz w:val="19"/>
                <w:szCs w:val="19"/>
              </w:rPr>
              <w:t xml:space="preserve">Calculated</w:t>
            </w:r>
          </w:p>
        </w:tc>
        <w:tc>
          <w:tcPr>
            <w:tcW w:type="dxa" w:w="3300"/>
            <w:shd w:fill="FFFFFF" w:val="clear"/>
            <w:tcMar>
              <w:top w:type="dxa" w:w="60"/>
              <w:left w:type="dxa" w:w="80"/>
              <w:bottom w:type="dxa" w:w="60"/>
              <w:right w:type="dxa" w:w="80"/>
            </w:tcMar>
          </w:tcPr>
          <w:p>
            <w:r>
              <w:rPr>
                <w:sz w:val="19"/>
                <w:szCs w:val="19"/>
              </w:rPr>
              <w:t xml:space="preserve">Computed from other fields within the request</w:t>
            </w:r>
          </w:p>
        </w:tc>
        <w:tc>
          <w:tcPr>
            <w:tcW w:type="dxa" w:w="3400"/>
            <w:shd w:fill="FFFFFF" w:val="clear"/>
            <w:tcMar>
              <w:top w:type="dxa" w:w="60"/>
              <w:left w:type="dxa" w:w="80"/>
              <w:bottom w:type="dxa" w:w="60"/>
              <w:right w:type="dxa" w:w="80"/>
            </w:tcMar>
          </w:tcPr>
          <w:p>
            <w:r>
              <w:rPr>
                <w:sz w:val="19"/>
                <w:szCs w:val="19"/>
              </w:rPr>
              <w:t xml:space="preserve">MUST state the exact formula</w:t>
            </w:r>
          </w:p>
        </w:tc>
      </w:tr>
      <w:tr>
        <w:tc>
          <w:tcPr>
            <w:tcW w:type="dxa" w:w="2200"/>
            <w:shd w:fill="DCE6F1" w:val="clear"/>
            <w:tcMar>
              <w:top w:type="dxa" w:w="60"/>
              <w:left w:type="dxa" w:w="80"/>
              <w:bottom w:type="dxa" w:w="60"/>
              <w:right w:type="dxa" w:w="80"/>
            </w:tcMar>
          </w:tcPr>
          <w:p>
            <w:r>
              <w:rPr>
                <w:sz w:val="19"/>
                <w:szCs w:val="19"/>
              </w:rPr>
              <w:t xml:space="preserve">Derived — Cross-Module</w:t>
            </w:r>
          </w:p>
        </w:tc>
        <w:tc>
          <w:tcPr>
            <w:tcW w:type="dxa" w:w="3300"/>
            <w:shd w:fill="DCE6F1" w:val="clear"/>
            <w:tcMar>
              <w:top w:type="dxa" w:w="60"/>
              <w:left w:type="dxa" w:w="80"/>
              <w:bottom w:type="dxa" w:w="60"/>
              <w:right w:type="dxa" w:w="80"/>
            </w:tcMar>
          </w:tcPr>
          <w:p>
            <w:r>
              <w:rPr>
                <w:sz w:val="19"/>
                <w:szCs w:val="19"/>
              </w:rPr>
              <w:t xml:space="preserve">Pulled from another section of the same request</w:t>
            </w:r>
          </w:p>
        </w:tc>
        <w:tc>
          <w:tcPr>
            <w:tcW w:type="dxa" w:w="3400"/>
            <w:shd w:fill="DCE6F1" w:val="clear"/>
            <w:tcMar>
              <w:top w:type="dxa" w:w="60"/>
              <w:left w:type="dxa" w:w="80"/>
              <w:bottom w:type="dxa" w:w="60"/>
              <w:right w:type="dxa" w:w="80"/>
            </w:tcMar>
          </w:tcPr>
          <w:p>
            <w:r>
              <w:rPr>
                <w:sz w:val="19"/>
                <w:szCs w:val="19"/>
              </w:rPr>
              <w:t xml:space="preserve">MUST name the specific source module/grid</w:t>
            </w:r>
          </w:p>
        </w:tc>
      </w:tr>
    </w:tbl>
    <w:p>
      <w:pPr>
        <w:pStyle w:val="Heading2"/>
        <w:keepNext/>
        <w:spacing w:after="140" w:before="320"/>
      </w:pPr>
      <w:r>
        <w:rPr>
          <w:b/>
          <w:bCs/>
          <w:color w:val="2E5496"/>
          <w:sz w:val="26"/>
          <w:szCs w:val="26"/>
        </w:rPr>
        <w:t xml:space="preserve">8.2 Request-Type Conditional Logic Pattern</w:t>
      </w:r>
    </w:p>
    <w:p>
      <w:pPr>
        <w:spacing w:after="160"/>
      </w:pPr>
      <w:r>
        <w:rPr>
          <w:sz w:val="21"/>
          <w:szCs w:val="21"/>
        </w:rPr>
        <w:t xml:space="preserve">For every field, document explicitly:</w:t>
      </w:r>
    </w:p>
    <w:p>
      <w:pPr>
        <w:pStyle w:val="ListParagraph"/>
        <w:numPr>
          <w:ilvl w:val="0"/>
          <w:numId w:val="2"/>
        </w:numPr>
        <w:spacing w:after="80"/>
      </w:pPr>
      <w:r>
        <w:rPr>
          <w:sz w:val="21"/>
          <w:szCs w:val="21"/>
        </w:rPr>
        <w:t xml:space="preserve">Is this field's visibility/mandatory status conditional on Request Type? If yes, name the exact condition.</w:t>
      </w:r>
    </w:p>
    <w:p>
      <w:pPr>
        <w:pStyle w:val="ListParagraph"/>
        <w:numPr>
          <w:ilvl w:val="0"/>
          <w:numId w:val="2"/>
        </w:numPr>
        <w:spacing w:after="80"/>
      </w:pPr>
      <w:r>
        <w:rPr>
          <w:sz w:val="21"/>
          <w:szCs w:val="21"/>
        </w:rPr>
        <w:t xml:space="preserve">If conditional on something other than Request Type (e.g., a value comparison like Proposed &lt; Existing), state that explicitly — don't conflate value-triggered and request-type-triggered conditions.</w:t>
      </w:r>
    </w:p>
    <w:p>
      <w:pPr>
        <w:pStyle w:val="ListParagraph"/>
        <w:numPr>
          <w:ilvl w:val="0"/>
          <w:numId w:val="2"/>
        </w:numPr>
        <w:spacing w:after="80"/>
      </w:pPr>
      <w:r>
        <w:rPr>
          <w:sz w:val="21"/>
          <w:szCs w:val="21"/>
        </w:rPr>
        <w:t xml:space="preserve">If not conditional at all, state that too, so the absence of a rule is a documented decision, not a silent gap.</w:t>
      </w:r>
    </w:p>
    <w:p>
      <w:pPr>
        <w:pStyle w:val="Heading2"/>
        <w:keepNext/>
        <w:spacing w:after="140" w:before="320"/>
      </w:pPr>
      <w:r>
        <w:rPr>
          <w:b/>
          <w:bCs/>
          <w:color w:val="2E5496"/>
          <w:sz w:val="26"/>
          <w:szCs w:val="26"/>
        </w:rPr>
        <w:t xml:space="preserve">8.3 Specification Completeness Checklist</w:t>
      </w:r>
    </w:p>
    <w:p>
      <w:pPr>
        <w:spacing w:after="160"/>
      </w:pPr>
      <w:r>
        <w:rPr>
          <w:sz w:val="21"/>
          <w:szCs w:val="21"/>
        </w:rPr>
        <w:t xml:space="preserve">Before any field is considered build-ready, confirm:</w:t>
      </w:r>
    </w:p>
    <w:p>
      <w:pPr>
        <w:pStyle w:val="ListParagraph"/>
        <w:numPr>
          <w:ilvl w:val="0"/>
          <w:numId w:val="2"/>
        </w:numPr>
        <w:spacing w:after="80"/>
      </w:pPr>
      <w:r>
        <w:rPr>
          <w:sz w:val="21"/>
          <w:szCs w:val="21"/>
        </w:rPr>
        <w:t xml:space="preserve">Does every Integrated/Derived field name its source?</w:t>
      </w:r>
    </w:p>
    <w:p>
      <w:pPr>
        <w:pStyle w:val="ListParagraph"/>
        <w:numPr>
          <w:ilvl w:val="0"/>
          <w:numId w:val="2"/>
        </w:numPr>
        <w:spacing w:after="80"/>
      </w:pPr>
      <w:r>
        <w:rPr>
          <w:sz w:val="21"/>
          <w:szCs w:val="21"/>
        </w:rPr>
        <w:t xml:space="preserve">Does every Calculated field state its formula?</w:t>
      </w:r>
    </w:p>
    <w:p>
      <w:pPr>
        <w:pStyle w:val="ListParagraph"/>
        <w:numPr>
          <w:ilvl w:val="0"/>
          <w:numId w:val="2"/>
        </w:numPr>
        <w:spacing w:after="80"/>
      </w:pPr>
      <w:r>
        <w:rPr>
          <w:sz w:val="21"/>
          <w:szCs w:val="21"/>
        </w:rPr>
        <w:t xml:space="preserve">Does every conditional field state its trigger?</w:t>
      </w:r>
    </w:p>
    <w:p>
      <w:pPr>
        <w:pStyle w:val="ListParagraph"/>
        <w:numPr>
          <w:ilvl w:val="0"/>
          <w:numId w:val="2"/>
        </w:numPr>
        <w:spacing w:after="80"/>
      </w:pPr>
      <w:r>
        <w:rPr>
          <w:sz w:val="21"/>
          <w:szCs w:val="21"/>
        </w:rPr>
        <w:t xml:space="preserve">Does every workflow stage abbreviation appear in the Glossary (Appendix A)?</w:t>
      </w:r>
    </w:p>
    <w:p>
      <w:pPr>
        <w:pStyle w:val="ListParagraph"/>
        <w:numPr>
          <w:ilvl w:val="0"/>
          <w:numId w:val="2"/>
        </w:numPr>
        <w:spacing w:after="80"/>
      </w:pPr>
      <w:r>
        <w:rPr>
          <w:sz w:val="21"/>
          <w:szCs w:val="21"/>
        </w:rPr>
        <w:t xml:space="preserve">Do all worked examples in this document match the current configuration tables?</w:t>
      </w:r>
    </w:p>
    <w:p>
      <w:pPr>
        <w:pStyle w:val="Heading1"/>
        <w:pageBreakBefore/>
        <w:spacing w:after="200" w:before="400"/>
      </w:pPr>
      <w:r>
        <w:rPr>
          <w:b/>
          <w:bCs/>
          <w:color w:val="1F3864"/>
          <w:sz w:val="32"/>
          <w:szCs w:val="32"/>
        </w:rPr>
        <w:t xml:space="preserve">9. Regulatory &amp; Risk Guardrails (Configurable by Jurisdiction)</w:t>
      </w:r>
    </w:p>
    <w:p>
      <w:pPr>
        <w:spacing w:after="160"/>
      </w:pPr>
      <w:r>
        <w:rPr>
          <w:sz w:val="21"/>
          <w:szCs w:val="21"/>
        </w:rPr>
        <w:t xml:space="preserve">These are modeled as configuration parameters with a placeholder structure — populate actual values per client/jurisdiction at implementation time; never hardcode a number from one jurisdiction into the core engine.</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600"/>
        <w:gridCol w:w="2900"/>
        <w:gridCol w:w="3400"/>
      </w:tblGrid>
      <w:tr>
        <w:trPr>
          <w:tblHeader/>
        </w:trPr>
        <w:tc>
          <w:tcPr>
            <w:tcW w:type="dxa" w:w="2600"/>
            <w:shd w:fill="1F3864" w:val="clear"/>
            <w:tcMar>
              <w:top w:type="dxa" w:w="60"/>
              <w:left w:type="dxa" w:w="80"/>
              <w:bottom w:type="dxa" w:w="60"/>
              <w:right w:type="dxa" w:w="80"/>
            </w:tcMar>
          </w:tcPr>
          <w:p>
            <w:r>
              <w:rPr>
                <w:b/>
                <w:bCs/>
                <w:color w:val="FFFFFF"/>
                <w:sz w:val="19"/>
                <w:szCs w:val="19"/>
              </w:rPr>
              <w:t xml:space="preserve">Guardrail</w:t>
            </w:r>
          </w:p>
        </w:tc>
        <w:tc>
          <w:tcPr>
            <w:tcW w:type="dxa" w:w="2900"/>
            <w:shd w:fill="1F3864" w:val="clear"/>
            <w:tcMar>
              <w:top w:type="dxa" w:w="60"/>
              <w:left w:type="dxa" w:w="80"/>
              <w:bottom w:type="dxa" w:w="60"/>
              <w:right w:type="dxa" w:w="80"/>
            </w:tcMar>
          </w:tcPr>
          <w:p>
            <w:r>
              <w:rPr>
                <w:b/>
                <w:bCs/>
                <w:color w:val="FFFFFF"/>
                <w:sz w:val="19"/>
                <w:szCs w:val="19"/>
              </w:rPr>
              <w:t xml:space="preserve">Configurable Parameter</w:t>
            </w:r>
          </w:p>
        </w:tc>
        <w:tc>
          <w:tcPr>
            <w:tcW w:type="dxa" w:w="3400"/>
            <w:shd w:fill="1F3864" w:val="clear"/>
            <w:tcMar>
              <w:top w:type="dxa" w:w="60"/>
              <w:left w:type="dxa" w:w="80"/>
              <w:bottom w:type="dxa" w:w="60"/>
              <w:right w:type="dxa" w:w="80"/>
            </w:tcMar>
          </w:tcPr>
          <w:p>
            <w:r>
              <w:rPr>
                <w:b/>
                <w:bCs/>
                <w:color w:val="FFFFFF"/>
                <w:sz w:val="19"/>
                <w:szCs w:val="19"/>
              </w:rPr>
              <w:t xml:space="preserve">Reference Example (Kuwait/CBK — illustrative only, not a default)</w:t>
            </w:r>
          </w:p>
        </w:tc>
      </w:tr>
      <w:tr>
        <w:tc>
          <w:tcPr>
            <w:tcW w:type="dxa" w:w="2600"/>
            <w:shd w:fill="FFFFFF" w:val="clear"/>
            <w:tcMar>
              <w:top w:type="dxa" w:w="60"/>
              <w:left w:type="dxa" w:w="80"/>
              <w:bottom w:type="dxa" w:w="60"/>
              <w:right w:type="dxa" w:w="80"/>
            </w:tcMar>
          </w:tcPr>
          <w:p>
            <w:r>
              <w:rPr>
                <w:sz w:val="19"/>
                <w:szCs w:val="19"/>
              </w:rPr>
              <w:t xml:space="preserve">Single Obligor Limit</w:t>
            </w:r>
          </w:p>
        </w:tc>
        <w:tc>
          <w:tcPr>
            <w:tcW w:type="dxa" w:w="2900"/>
            <w:shd w:fill="FFFFFF" w:val="clear"/>
            <w:tcMar>
              <w:top w:type="dxa" w:w="60"/>
              <w:left w:type="dxa" w:w="80"/>
              <w:bottom w:type="dxa" w:w="60"/>
              <w:right w:type="dxa" w:w="80"/>
            </w:tcMar>
          </w:tcPr>
          <w:p>
            <w:r>
              <w:rPr>
                <w:sz w:val="19"/>
                <w:szCs w:val="19"/>
              </w:rPr>
              <w:t xml:space="preserve">% of capital base</w:t>
            </w:r>
          </w:p>
        </w:tc>
        <w:tc>
          <w:tcPr>
            <w:tcW w:type="dxa" w:w="3400"/>
            <w:shd w:fill="FFFFFF" w:val="clear"/>
            <w:tcMar>
              <w:top w:type="dxa" w:w="60"/>
              <w:left w:type="dxa" w:w="80"/>
              <w:bottom w:type="dxa" w:w="60"/>
              <w:right w:type="dxa" w:w="80"/>
            </w:tcMar>
          </w:tcPr>
          <w:p>
            <w:r>
              <w:rPr>
                <w:sz w:val="19"/>
                <w:szCs w:val="19"/>
              </w:rPr>
              <w:t xml:space="preserve">15%</w:t>
            </w:r>
          </w:p>
        </w:tc>
      </w:tr>
      <w:tr>
        <w:tc>
          <w:tcPr>
            <w:tcW w:type="dxa" w:w="2600"/>
            <w:shd w:fill="DCE6F1" w:val="clear"/>
            <w:tcMar>
              <w:top w:type="dxa" w:w="60"/>
              <w:left w:type="dxa" w:w="80"/>
              <w:bottom w:type="dxa" w:w="60"/>
              <w:right w:type="dxa" w:w="80"/>
            </w:tcMar>
          </w:tcPr>
          <w:p>
            <w:r>
              <w:rPr>
                <w:sz w:val="19"/>
                <w:szCs w:val="19"/>
              </w:rPr>
              <w:t xml:space="preserve">Large Exposure Reporting Threshold</w:t>
            </w:r>
          </w:p>
        </w:tc>
        <w:tc>
          <w:tcPr>
            <w:tcW w:type="dxa" w:w="2900"/>
            <w:shd w:fill="DCE6F1" w:val="clear"/>
            <w:tcMar>
              <w:top w:type="dxa" w:w="60"/>
              <w:left w:type="dxa" w:w="80"/>
              <w:bottom w:type="dxa" w:w="60"/>
              <w:right w:type="dxa" w:w="80"/>
            </w:tcMar>
          </w:tcPr>
          <w:p>
            <w:r>
              <w:rPr>
                <w:sz w:val="19"/>
                <w:szCs w:val="19"/>
              </w:rPr>
              <w:t xml:space="preserve">% of capital base</w:t>
            </w:r>
          </w:p>
        </w:tc>
        <w:tc>
          <w:tcPr>
            <w:tcW w:type="dxa" w:w="3400"/>
            <w:shd w:fill="DCE6F1" w:val="clear"/>
            <w:tcMar>
              <w:top w:type="dxa" w:w="60"/>
              <w:left w:type="dxa" w:w="80"/>
              <w:bottom w:type="dxa" w:w="60"/>
              <w:right w:type="dxa" w:w="80"/>
            </w:tcMar>
          </w:tcPr>
          <w:p>
            <w:r>
              <w:rPr>
                <w:sz w:val="19"/>
                <w:szCs w:val="19"/>
              </w:rPr>
              <w:t xml:space="preserve">10%</w:t>
            </w:r>
          </w:p>
        </w:tc>
      </w:tr>
      <w:tr>
        <w:tc>
          <w:tcPr>
            <w:tcW w:type="dxa" w:w="2600"/>
            <w:shd w:fill="FFFFFF" w:val="clear"/>
            <w:tcMar>
              <w:top w:type="dxa" w:w="60"/>
              <w:left w:type="dxa" w:w="80"/>
              <w:bottom w:type="dxa" w:w="60"/>
              <w:right w:type="dxa" w:w="80"/>
            </w:tcMar>
          </w:tcPr>
          <w:p>
            <w:r>
              <w:rPr>
                <w:sz w:val="19"/>
                <w:szCs w:val="19"/>
              </w:rPr>
              <w:t xml:space="preserve">Aggregate Large Exposure Ceiling</w:t>
            </w:r>
          </w:p>
        </w:tc>
        <w:tc>
          <w:tcPr>
            <w:tcW w:type="dxa" w:w="2900"/>
            <w:shd w:fill="FFFFFF" w:val="clear"/>
            <w:tcMar>
              <w:top w:type="dxa" w:w="60"/>
              <w:left w:type="dxa" w:w="80"/>
              <w:bottom w:type="dxa" w:w="60"/>
              <w:right w:type="dxa" w:w="80"/>
            </w:tcMar>
          </w:tcPr>
          <w:p>
            <w:r>
              <w:rPr>
                <w:sz w:val="19"/>
                <w:szCs w:val="19"/>
              </w:rPr>
              <w:t xml:space="preserve">multiple of capital base</w:t>
            </w:r>
          </w:p>
        </w:tc>
        <w:tc>
          <w:tcPr>
            <w:tcW w:type="dxa" w:w="3400"/>
            <w:shd w:fill="FFFFFF" w:val="clear"/>
            <w:tcMar>
              <w:top w:type="dxa" w:w="60"/>
              <w:left w:type="dxa" w:w="80"/>
              <w:bottom w:type="dxa" w:w="60"/>
              <w:right w:type="dxa" w:w="80"/>
            </w:tcMar>
          </w:tcPr>
          <w:p>
            <w:r>
              <w:rPr>
                <w:sz w:val="19"/>
                <w:szCs w:val="19"/>
              </w:rPr>
              <w:t xml:space="preserve">4x</w:t>
            </w:r>
          </w:p>
        </w:tc>
      </w:tr>
      <w:tr>
        <w:tc>
          <w:tcPr>
            <w:tcW w:type="dxa" w:w="2600"/>
            <w:shd w:fill="DCE6F1" w:val="clear"/>
            <w:tcMar>
              <w:top w:type="dxa" w:w="60"/>
              <w:left w:type="dxa" w:w="80"/>
              <w:bottom w:type="dxa" w:w="60"/>
              <w:right w:type="dxa" w:w="80"/>
            </w:tcMar>
          </w:tcPr>
          <w:p>
            <w:r>
              <w:rPr>
                <w:sz w:val="19"/>
                <w:szCs w:val="19"/>
              </w:rPr>
              <w:t xml:space="preserve">Connected Lending / Related Party Rule</w:t>
            </w:r>
          </w:p>
        </w:tc>
        <w:tc>
          <w:tcPr>
            <w:tcW w:type="dxa" w:w="2900"/>
            <w:shd w:fill="DCE6F1" w:val="clear"/>
            <w:tcMar>
              <w:top w:type="dxa" w:w="60"/>
              <w:left w:type="dxa" w:w="80"/>
              <w:bottom w:type="dxa" w:w="60"/>
              <w:right w:type="dxa" w:w="80"/>
            </w:tcMar>
          </w:tcPr>
          <w:p>
            <w:r>
              <w:rPr>
                <w:sz w:val="19"/>
                <w:szCs w:val="19"/>
              </w:rPr>
              <w:t xml:space="preserve">Mandatory routing to highest committee level, any amount</w:t>
            </w:r>
          </w:p>
        </w:tc>
        <w:tc>
          <w:tcPr>
            <w:tcW w:type="dxa" w:w="3400"/>
            <w:shd w:fill="DCE6F1" w:val="clear"/>
            <w:tcMar>
              <w:top w:type="dxa" w:w="60"/>
              <w:left w:type="dxa" w:w="80"/>
              <w:bottom w:type="dxa" w:w="60"/>
              <w:right w:type="dxa" w:w="80"/>
            </w:tcMar>
          </w:tcPr>
          <w:p>
            <w:r>
              <w:rPr>
                <w:sz w:val="19"/>
                <w:szCs w:val="19"/>
              </w:rPr>
              <w:t xml:space="preserve">Board-level approval required regardless of size</w:t>
            </w:r>
          </w:p>
        </w:tc>
      </w:tr>
      <w:tr>
        <w:tc>
          <w:tcPr>
            <w:tcW w:type="dxa" w:w="2600"/>
            <w:shd w:fill="FFFFFF" w:val="clear"/>
            <w:tcMar>
              <w:top w:type="dxa" w:w="60"/>
              <w:left w:type="dxa" w:w="80"/>
              <w:bottom w:type="dxa" w:w="60"/>
              <w:right w:type="dxa" w:w="80"/>
            </w:tcMar>
          </w:tcPr>
          <w:p>
            <w:r>
              <w:rPr>
                <w:sz w:val="19"/>
                <w:szCs w:val="19"/>
              </w:rPr>
              <w:t xml:space="preserve">DSCR Minimum Threshold</w:t>
            </w:r>
          </w:p>
        </w:tc>
        <w:tc>
          <w:tcPr>
            <w:tcW w:type="dxa" w:w="2900"/>
            <w:shd w:fill="FFFFFF" w:val="clear"/>
            <w:tcMar>
              <w:top w:type="dxa" w:w="60"/>
              <w:left w:type="dxa" w:w="80"/>
              <w:bottom w:type="dxa" w:w="60"/>
              <w:right w:type="dxa" w:w="80"/>
            </w:tcMar>
          </w:tcPr>
          <w:p>
            <w:r>
              <w:rPr>
                <w:sz w:val="19"/>
                <w:szCs w:val="19"/>
              </w:rPr>
              <w:t xml:space="preserve">Ratio, policy-defined</w:t>
            </w:r>
          </w:p>
        </w:tc>
        <w:tc>
          <w:tcPr>
            <w:tcW w:type="dxa" w:w="3400"/>
            <w:shd w:fill="FFFFFF" w:val="clear"/>
            <w:tcMar>
              <w:top w:type="dxa" w:w="60"/>
              <w:left w:type="dxa" w:w="80"/>
              <w:bottom w:type="dxa" w:w="60"/>
              <w:right w:type="dxa" w:w="80"/>
            </w:tcMar>
          </w:tcPr>
          <w:p>
            <w:r>
              <w:rPr>
                <w:sz w:val="19"/>
                <w:szCs w:val="19"/>
              </w:rPr>
              <w:t xml:space="preserve">Commonly 1.20x–1.25x — bank-specific policy, not universal</w:t>
            </w:r>
          </w:p>
        </w:tc>
      </w:tr>
      <w:tr>
        <w:tc>
          <w:tcPr>
            <w:tcW w:type="dxa" w:w="2600"/>
            <w:shd w:fill="DCE6F1" w:val="clear"/>
            <w:tcMar>
              <w:top w:type="dxa" w:w="60"/>
              <w:left w:type="dxa" w:w="80"/>
              <w:bottom w:type="dxa" w:w="60"/>
              <w:right w:type="dxa" w:w="80"/>
            </w:tcMar>
          </w:tcPr>
          <w:p>
            <w:r>
              <w:rPr>
                <w:sz w:val="19"/>
                <w:szCs w:val="19"/>
              </w:rPr>
              <w:t xml:space="preserve">Financial Statement Aging Limit</w:t>
            </w:r>
          </w:p>
        </w:tc>
        <w:tc>
          <w:tcPr>
            <w:tcW w:type="dxa" w:w="2900"/>
            <w:shd w:fill="DCE6F1" w:val="clear"/>
            <w:tcMar>
              <w:top w:type="dxa" w:w="60"/>
              <w:left w:type="dxa" w:w="80"/>
              <w:bottom w:type="dxa" w:w="60"/>
              <w:right w:type="dxa" w:w="80"/>
            </w:tcMar>
          </w:tcPr>
          <w:p>
            <w:r>
              <w:rPr>
                <w:sz w:val="19"/>
                <w:szCs w:val="19"/>
              </w:rPr>
              <w:t xml:space="preserve">Months since statement date</w:t>
            </w:r>
          </w:p>
        </w:tc>
        <w:tc>
          <w:tcPr>
            <w:tcW w:type="dxa" w:w="3400"/>
            <w:shd w:fill="DCE6F1" w:val="clear"/>
            <w:tcMar>
              <w:top w:type="dxa" w:w="60"/>
              <w:left w:type="dxa" w:w="80"/>
              <w:bottom w:type="dxa" w:w="60"/>
              <w:right w:type="dxa" w:w="80"/>
            </w:tcMar>
          </w:tcPr>
          <w:p>
            <w:r>
              <w:rPr>
                <w:sz w:val="19"/>
                <w:szCs w:val="19"/>
              </w:rPr>
              <w:t xml:space="preserve">Commonly 12–18 months — bank-specific policy</w:t>
            </w:r>
          </w:p>
        </w:tc>
      </w:tr>
    </w:tbl>
    <w:p>
      <w:pPr>
        <w:spacing w:after="160"/>
        <w:ind w:left="360"/>
      </w:pPr>
      <w:r>
        <w:rPr>
          <w:i/>
          <w:iCs/>
          <w:color w:val="595959"/>
          <w:sz w:val="20"/>
          <w:szCs w:val="20"/>
        </w:rPr>
        <w:t xml:space="preserve">These example values come from one jurisdiction encountered during the reference engagement and are shown only to illustrate the parameter shape — every new client implementation must source its own actual regulatory and policy thresholds.</w:t>
      </w:r>
    </w:p>
    <w:p>
      <w:pPr>
        <w:pStyle w:val="Heading1"/>
        <w:pageBreakBefore/>
        <w:spacing w:after="200" w:before="400"/>
      </w:pPr>
      <w:r>
        <w:rPr>
          <w:b/>
          <w:bCs/>
          <w:color w:val="1F3864"/>
          <w:sz w:val="32"/>
          <w:szCs w:val="32"/>
        </w:rPr>
        <w:t xml:space="preserve">10. Role-Wise Dashboards</w:t>
      </w:r>
    </w:p>
    <w:p>
      <w:pPr>
        <w:spacing w:after="160"/>
      </w:pPr>
      <w:r>
        <w:rPr>
          <w:sz w:val="21"/>
          <w:szCs w:val="21"/>
        </w:rPr>
        <w:t xml:space="preserve">Each role (Section 2.2) gets a configurable set of widgets. Minimum recommended set per role category:</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rPr>
          <w:tblHeader/>
        </w:trPr>
        <w:tc>
          <w:tcPr>
            <w:tcW w:type="dxa" w:w="2600"/>
            <w:shd w:fill="1F3864" w:val="clear"/>
            <w:tcMar>
              <w:top w:type="dxa" w:w="60"/>
              <w:left w:type="dxa" w:w="80"/>
              <w:bottom w:type="dxa" w:w="60"/>
              <w:right w:type="dxa" w:w="80"/>
            </w:tcMar>
          </w:tcPr>
          <w:p>
            <w:r>
              <w:rPr>
                <w:b/>
                <w:bCs/>
                <w:color w:val="FFFFFF"/>
                <w:sz w:val="19"/>
                <w:szCs w:val="19"/>
              </w:rPr>
              <w:t xml:space="preserve">Role Category</w:t>
            </w:r>
          </w:p>
        </w:tc>
        <w:tc>
          <w:tcPr>
            <w:tcW w:type="dxa" w:w="6700"/>
            <w:shd w:fill="1F3864" w:val="clear"/>
            <w:tcMar>
              <w:top w:type="dxa" w:w="60"/>
              <w:left w:type="dxa" w:w="80"/>
              <w:bottom w:type="dxa" w:w="60"/>
              <w:right w:type="dxa" w:w="80"/>
            </w:tcMar>
          </w:tcPr>
          <w:p>
            <w:r>
              <w:rPr>
                <w:b/>
                <w:bCs/>
                <w:color w:val="FFFFFF"/>
                <w:sz w:val="19"/>
                <w:szCs w:val="19"/>
              </w:rPr>
              <w:t xml:space="preserve">Core Widgets</w:t>
            </w:r>
          </w:p>
        </w:tc>
      </w:tr>
      <w:tr>
        <w:tc>
          <w:tcPr>
            <w:tcW w:type="dxa" w:w="2600"/>
            <w:shd w:fill="FFFFFF" w:val="clear"/>
            <w:tcMar>
              <w:top w:type="dxa" w:w="60"/>
              <w:left w:type="dxa" w:w="80"/>
              <w:bottom w:type="dxa" w:w="60"/>
              <w:right w:type="dxa" w:w="80"/>
            </w:tcMar>
          </w:tcPr>
          <w:p>
            <w:r>
              <w:rPr>
                <w:sz w:val="19"/>
                <w:szCs w:val="19"/>
              </w:rPr>
              <w:t xml:space="preserve">Origination (RO, Approvers)</w:t>
            </w:r>
          </w:p>
        </w:tc>
        <w:tc>
          <w:tcPr>
            <w:tcW w:type="dxa" w:w="6700"/>
            <w:shd w:fill="FFFFFF" w:val="clear"/>
            <w:tcMar>
              <w:top w:type="dxa" w:w="60"/>
              <w:left w:type="dxa" w:w="80"/>
              <w:bottom w:type="dxa" w:w="60"/>
              <w:right w:type="dxa" w:w="80"/>
            </w:tcMar>
          </w:tcPr>
          <w:p>
            <w:pPr>
              <w:pStyle w:val="ListParagraph"/>
              <w:numPr>
                <w:ilvl w:val="0"/>
                <w:numId w:val="1"/>
              </w:numPr>
              <w:spacing w:after="30"/>
            </w:pPr>
            <w:r>
              <w:rPr>
                <w:sz w:val="19"/>
                <w:szCs w:val="19"/>
              </w:rPr>
              <w:t xml:space="preserve">My/Team Request Pipeline</w:t>
            </w:r>
          </w:p>
          <w:p>
            <w:pPr>
              <w:pStyle w:val="ListParagraph"/>
              <w:numPr>
                <w:ilvl w:val="0"/>
                <w:numId w:val="1"/>
              </w:numPr>
              <w:spacing w:after="30"/>
            </w:pPr>
            <w:r>
              <w:rPr>
                <w:sz w:val="19"/>
                <w:szCs w:val="19"/>
              </w:rPr>
              <w:t xml:space="preserve">SLA Aging Tracker</w:t>
            </w:r>
          </w:p>
          <w:p>
            <w:pPr>
              <w:pStyle w:val="ListParagraph"/>
              <w:numPr>
                <w:ilvl w:val="0"/>
                <w:numId w:val="1"/>
              </w:numPr>
              <w:spacing w:after="30"/>
            </w:pPr>
            <w:r>
              <w:rPr>
                <w:sz w:val="19"/>
                <w:szCs w:val="19"/>
              </w:rPr>
              <w:t xml:space="preserve">Client/Group Exposure Summary</w:t>
            </w:r>
          </w:p>
          <w:p>
            <w:pPr>
              <w:pStyle w:val="ListParagraph"/>
              <w:numPr>
                <w:ilvl w:val="0"/>
                <w:numId w:val="1"/>
              </w:numPr>
              <w:spacing w:after="30"/>
            </w:pPr>
            <w:r>
              <w:rPr>
                <w:sz w:val="19"/>
                <w:szCs w:val="19"/>
              </w:rPr>
              <w:t xml:space="preserve">Upcoming Renewals &amp; Maturities</w:t>
            </w:r>
          </w:p>
        </w:tc>
      </w:tr>
      <w:tr>
        <w:tc>
          <w:tcPr>
            <w:tcW w:type="dxa" w:w="2600"/>
            <w:shd w:fill="DCE6F1" w:val="clear"/>
            <w:tcMar>
              <w:top w:type="dxa" w:w="60"/>
              <w:left w:type="dxa" w:w="80"/>
              <w:bottom w:type="dxa" w:w="60"/>
              <w:right w:type="dxa" w:w="80"/>
            </w:tcMar>
          </w:tcPr>
          <w:p>
            <w:r>
              <w:rPr>
                <w:sz w:val="19"/>
                <w:szCs w:val="19"/>
              </w:rPr>
              <w:t xml:space="preserve">Review</w:t>
            </w:r>
          </w:p>
        </w:tc>
        <w:tc>
          <w:tcPr>
            <w:tcW w:type="dxa" w:w="6700"/>
            <w:shd w:fill="DCE6F1" w:val="clear"/>
            <w:tcMar>
              <w:top w:type="dxa" w:w="60"/>
              <w:left w:type="dxa" w:w="80"/>
              <w:bottom w:type="dxa" w:w="60"/>
              <w:right w:type="dxa" w:w="80"/>
            </w:tcMar>
          </w:tcPr>
          <w:p>
            <w:pPr>
              <w:pStyle w:val="ListParagraph"/>
              <w:numPr>
                <w:ilvl w:val="0"/>
                <w:numId w:val="1"/>
              </w:numPr>
              <w:spacing w:after="30"/>
            </w:pPr>
            <w:r>
              <w:rPr>
                <w:sz w:val="19"/>
                <w:szCs w:val="19"/>
              </w:rPr>
              <w:t xml:space="preserve">My/Team Review Queue</w:t>
            </w:r>
          </w:p>
          <w:p>
            <w:pPr>
              <w:pStyle w:val="ListParagraph"/>
              <w:numPr>
                <w:ilvl w:val="0"/>
                <w:numId w:val="1"/>
              </w:numPr>
              <w:spacing w:after="30"/>
            </w:pPr>
            <w:r>
              <w:rPr>
                <w:sz w:val="19"/>
                <w:szCs w:val="19"/>
              </w:rPr>
              <w:t xml:space="preserve">Financial Spread Status</w:t>
            </w:r>
          </w:p>
          <w:p>
            <w:pPr>
              <w:pStyle w:val="ListParagraph"/>
              <w:numPr>
                <w:ilvl w:val="0"/>
                <w:numId w:val="1"/>
              </w:numPr>
              <w:spacing w:after="30"/>
            </w:pPr>
            <w:r>
              <w:rPr>
                <w:sz w:val="19"/>
                <w:szCs w:val="19"/>
              </w:rPr>
              <w:t xml:space="preserve">ROC/RAROC &amp; Coverage Ratio Snapshot</w:t>
            </w:r>
          </w:p>
          <w:p>
            <w:pPr>
              <w:pStyle w:val="ListParagraph"/>
              <w:numPr>
                <w:ilvl w:val="0"/>
                <w:numId w:val="1"/>
              </w:numPr>
              <w:spacing w:after="30"/>
            </w:pPr>
            <w:r>
              <w:rPr>
                <w:sz w:val="19"/>
                <w:szCs w:val="19"/>
              </w:rPr>
              <w:t xml:space="preserve">Escalated/Overlay Cases</w:t>
            </w:r>
          </w:p>
        </w:tc>
      </w:tr>
      <w:tr>
        <w:tc>
          <w:tcPr>
            <w:tcW w:type="dxa" w:w="2600"/>
            <w:shd w:fill="FFFFFF" w:val="clear"/>
            <w:tcMar>
              <w:top w:type="dxa" w:w="60"/>
              <w:left w:type="dxa" w:w="80"/>
              <w:bottom w:type="dxa" w:w="60"/>
              <w:right w:type="dxa" w:w="80"/>
            </w:tcMar>
          </w:tcPr>
          <w:p>
            <w:r>
              <w:rPr>
                <w:sz w:val="19"/>
                <w:szCs w:val="19"/>
              </w:rPr>
              <w:t xml:space="preserve">Decision (Committee)</w:t>
            </w:r>
          </w:p>
        </w:tc>
        <w:tc>
          <w:tcPr>
            <w:tcW w:type="dxa" w:w="6700"/>
            <w:shd w:fill="FFFFFF" w:val="clear"/>
            <w:tcMar>
              <w:top w:type="dxa" w:w="60"/>
              <w:left w:type="dxa" w:w="80"/>
              <w:bottom w:type="dxa" w:w="60"/>
              <w:right w:type="dxa" w:w="80"/>
            </w:tcMar>
          </w:tcPr>
          <w:p>
            <w:pPr>
              <w:pStyle w:val="ListParagraph"/>
              <w:numPr>
                <w:ilvl w:val="0"/>
                <w:numId w:val="1"/>
              </w:numPr>
              <w:spacing w:after="30"/>
            </w:pPr>
            <w:r>
              <w:rPr>
                <w:sz w:val="19"/>
                <w:szCs w:val="19"/>
              </w:rPr>
              <w:t xml:space="preserve">My Voting Queue</w:t>
            </w:r>
          </w:p>
          <w:p>
            <w:pPr>
              <w:pStyle w:val="ListParagraph"/>
              <w:numPr>
                <w:ilvl w:val="0"/>
                <w:numId w:val="1"/>
              </w:numPr>
              <w:spacing w:after="30"/>
            </w:pPr>
            <w:r>
              <w:rPr>
                <w:sz w:val="19"/>
                <w:szCs w:val="19"/>
              </w:rPr>
              <w:t xml:space="preserve">Case Summary Card (key decision fields only)</w:t>
            </w:r>
          </w:p>
          <w:p>
            <w:pPr>
              <w:pStyle w:val="ListParagraph"/>
              <w:numPr>
                <w:ilvl w:val="0"/>
                <w:numId w:val="1"/>
              </w:numPr>
              <w:spacing w:after="30"/>
            </w:pPr>
            <w:r>
              <w:rPr>
                <w:sz w:val="19"/>
                <w:szCs w:val="19"/>
              </w:rPr>
              <w:t xml:space="preserve">Voting History / Results Tracker</w:t>
            </w:r>
          </w:p>
        </w:tc>
      </w:tr>
      <w:tr>
        <w:tc>
          <w:tcPr>
            <w:tcW w:type="dxa" w:w="2600"/>
            <w:shd w:fill="DCE6F1" w:val="clear"/>
            <w:tcMar>
              <w:top w:type="dxa" w:w="60"/>
              <w:left w:type="dxa" w:w="80"/>
              <w:bottom w:type="dxa" w:w="60"/>
              <w:right w:type="dxa" w:w="80"/>
            </w:tcMar>
          </w:tcPr>
          <w:p>
            <w:r>
              <w:rPr>
                <w:sz w:val="19"/>
                <w:szCs w:val="19"/>
              </w:rPr>
              <w:t xml:space="preserve">Implementation (Doc/Legal/QA/Processing)</w:t>
            </w:r>
          </w:p>
        </w:tc>
        <w:tc>
          <w:tcPr>
            <w:tcW w:type="dxa" w:w="6700"/>
            <w:shd w:fill="DCE6F1" w:val="clear"/>
            <w:tcMar>
              <w:top w:type="dxa" w:w="60"/>
              <w:left w:type="dxa" w:w="80"/>
              <w:bottom w:type="dxa" w:w="60"/>
              <w:right w:type="dxa" w:w="80"/>
            </w:tcMar>
          </w:tcPr>
          <w:p>
            <w:pPr>
              <w:pStyle w:val="ListParagraph"/>
              <w:numPr>
                <w:ilvl w:val="0"/>
                <w:numId w:val="1"/>
              </w:numPr>
              <w:spacing w:after="30"/>
            </w:pPr>
            <w:r>
              <w:rPr>
                <w:sz w:val="19"/>
                <w:szCs w:val="19"/>
              </w:rPr>
              <w:t xml:space="preserve">My/Team Task Queue by Request Type</w:t>
            </w:r>
          </w:p>
          <w:p>
            <w:pPr>
              <w:pStyle w:val="ListParagraph"/>
              <w:numPr>
                <w:ilvl w:val="0"/>
                <w:numId w:val="1"/>
              </w:numPr>
              <w:spacing w:after="30"/>
            </w:pPr>
            <w:r>
              <w:rPr>
                <w:sz w:val="19"/>
                <w:szCs w:val="19"/>
              </w:rPr>
              <w:t xml:space="preserve">Handover/Signature Tracking</w:t>
            </w:r>
          </w:p>
          <w:p>
            <w:pPr>
              <w:pStyle w:val="ListParagraph"/>
              <w:numPr>
                <w:ilvl w:val="0"/>
                <w:numId w:val="1"/>
              </w:numPr>
              <w:spacing w:after="30"/>
            </w:pPr>
            <w:r>
              <w:rPr>
                <w:sz w:val="19"/>
                <w:szCs w:val="19"/>
              </w:rPr>
              <w:t xml:space="preserve">Booking Status</w:t>
            </w:r>
          </w:p>
        </w:tc>
      </w:tr>
      <w:tr>
        <w:tc>
          <w:tcPr>
            <w:tcW w:type="dxa" w:w="2600"/>
            <w:shd w:fill="FFFFFF" w:val="clear"/>
            <w:tcMar>
              <w:top w:type="dxa" w:w="60"/>
              <w:left w:type="dxa" w:w="80"/>
              <w:bottom w:type="dxa" w:w="60"/>
              <w:right w:type="dxa" w:w="80"/>
            </w:tcMar>
          </w:tcPr>
          <w:p>
            <w:r>
              <w:rPr>
                <w:sz w:val="19"/>
                <w:szCs w:val="19"/>
              </w:rPr>
              <w:t xml:space="preserve">Monitoring</w:t>
            </w:r>
          </w:p>
        </w:tc>
        <w:tc>
          <w:tcPr>
            <w:tcW w:type="dxa" w:w="6700"/>
            <w:shd w:fill="FFFFFF" w:val="clear"/>
            <w:tcMar>
              <w:top w:type="dxa" w:w="60"/>
              <w:left w:type="dxa" w:w="80"/>
              <w:bottom w:type="dxa" w:w="60"/>
              <w:right w:type="dxa" w:w="80"/>
            </w:tcMar>
          </w:tcPr>
          <w:p>
            <w:pPr>
              <w:pStyle w:val="ListParagraph"/>
              <w:numPr>
                <w:ilvl w:val="0"/>
                <w:numId w:val="1"/>
              </w:numPr>
              <w:spacing w:after="30"/>
            </w:pPr>
            <w:r>
              <w:rPr>
                <w:sz w:val="19"/>
                <w:szCs w:val="19"/>
              </w:rPr>
              <w:t xml:space="preserve">Covenant/Condition Follow-Up Tracker</w:t>
            </w:r>
          </w:p>
          <w:p>
            <w:pPr>
              <w:pStyle w:val="ListParagraph"/>
              <w:numPr>
                <w:ilvl w:val="0"/>
                <w:numId w:val="1"/>
              </w:numPr>
              <w:spacing w:after="30"/>
            </w:pPr>
            <w:r>
              <w:rPr>
                <w:sz w:val="19"/>
                <w:szCs w:val="19"/>
              </w:rPr>
              <w:t xml:space="preserve">Post-Sanction Monitoring Alerts</w:t>
            </w:r>
          </w:p>
          <w:p>
            <w:pPr>
              <w:pStyle w:val="ListParagraph"/>
              <w:numPr>
                <w:ilvl w:val="0"/>
                <w:numId w:val="1"/>
              </w:numPr>
              <w:spacing w:after="30"/>
            </w:pPr>
            <w:r>
              <w:rPr>
                <w:sz w:val="19"/>
                <w:szCs w:val="19"/>
              </w:rPr>
              <w:t xml:space="preserve">Collateral Shortfall Alerts</w:t>
            </w:r>
          </w:p>
          <w:p>
            <w:pPr>
              <w:pStyle w:val="ListParagraph"/>
              <w:numPr>
                <w:ilvl w:val="0"/>
                <w:numId w:val="1"/>
              </w:numPr>
              <w:spacing w:after="30"/>
            </w:pPr>
            <w:r>
              <w:rPr>
                <w:sz w:val="19"/>
                <w:szCs w:val="19"/>
              </w:rPr>
              <w:t xml:space="preserve">Excess-Over-Limit Alerts</w:t>
            </w:r>
          </w:p>
        </w:tc>
      </w:tr>
      <w:tr>
        <w:tc>
          <w:tcPr>
            <w:tcW w:type="dxa" w:w="2600"/>
            <w:shd w:fill="DCE6F1" w:val="clear"/>
            <w:tcMar>
              <w:top w:type="dxa" w:w="60"/>
              <w:left w:type="dxa" w:w="80"/>
              <w:bottom w:type="dxa" w:w="60"/>
              <w:right w:type="dxa" w:w="80"/>
            </w:tcMar>
          </w:tcPr>
          <w:p>
            <w:r>
              <w:rPr>
                <w:sz w:val="19"/>
                <w:szCs w:val="19"/>
              </w:rPr>
              <w:t xml:space="preserve">Admin/MIS</w:t>
            </w:r>
          </w:p>
        </w:tc>
        <w:tc>
          <w:tcPr>
            <w:tcW w:type="dxa" w:w="6700"/>
            <w:shd w:fill="DCE6F1" w:val="clear"/>
            <w:tcMar>
              <w:top w:type="dxa" w:w="60"/>
              <w:left w:type="dxa" w:w="80"/>
              <w:bottom w:type="dxa" w:w="60"/>
              <w:right w:type="dxa" w:w="80"/>
            </w:tcMar>
          </w:tcPr>
          <w:p>
            <w:pPr>
              <w:pStyle w:val="ListParagraph"/>
              <w:numPr>
                <w:ilvl w:val="0"/>
                <w:numId w:val="1"/>
              </w:numPr>
              <w:spacing w:after="30"/>
            </w:pPr>
            <w:r>
              <w:rPr>
                <w:sz w:val="19"/>
                <w:szCs w:val="19"/>
              </w:rPr>
              <w:t xml:space="preserve">End-to-End TAT Funnel</w:t>
            </w:r>
          </w:p>
          <w:p>
            <w:pPr>
              <w:pStyle w:val="ListParagraph"/>
              <w:numPr>
                <w:ilvl w:val="0"/>
                <w:numId w:val="1"/>
              </w:numPr>
              <w:spacing w:after="30"/>
            </w:pPr>
            <w:r>
              <w:rPr>
                <w:sz w:val="19"/>
                <w:szCs w:val="19"/>
              </w:rPr>
              <w:t xml:space="preserve">Volume Trends</w:t>
            </w:r>
          </w:p>
          <w:p>
            <w:pPr>
              <w:pStyle w:val="ListParagraph"/>
              <w:numPr>
                <w:ilvl w:val="0"/>
                <w:numId w:val="1"/>
              </w:numPr>
              <w:spacing w:after="30"/>
            </w:pPr>
            <w:r>
              <w:rPr>
                <w:sz w:val="19"/>
                <w:szCs w:val="19"/>
              </w:rPr>
              <w:t xml:space="preserve">SLA Breach Heatmap</w:t>
            </w:r>
          </w:p>
        </w:tc>
      </w:tr>
    </w:tbl>
    <w:p>
      <w:pPr>
        <w:pStyle w:val="Heading1"/>
        <w:pageBreakBefore/>
        <w:spacing w:after="200" w:before="400"/>
      </w:pPr>
      <w:r>
        <w:rPr>
          <w:b/>
          <w:bCs/>
          <w:color w:val="1F3864"/>
          <w:sz w:val="32"/>
          <w:szCs w:val="32"/>
        </w:rPr>
        <w:t xml:space="preserve">11. Integration Architecture</w:t>
      </w:r>
    </w:p>
    <w:p>
      <w:pPr>
        <w:pStyle w:val="Heading2"/>
        <w:keepNext/>
        <w:spacing w:after="140" w:before="320"/>
      </w:pPr>
      <w:r>
        <w:rPr>
          <w:b/>
          <w:bCs/>
          <w:color w:val="2E5496"/>
          <w:sz w:val="26"/>
          <w:szCs w:val="26"/>
        </w:rPr>
        <w:t xml:space="preserve">11.1 Adapter Pattern</w:t>
      </w:r>
    </w:p>
    <w:p>
      <w:pPr>
        <w:spacing w:after="160"/>
      </w:pPr>
      <w:r>
        <w:rPr>
          <w:sz w:val="21"/>
          <w:szCs w:val="21"/>
        </w:rPr>
        <w:t xml:space="preserve">Every external system connection is built as a named adapter implementing a common interface, never a direct point-to-point integration hardcoded into the core engine: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3200"/>
        <w:gridCol w:w="3800"/>
      </w:tblGrid>
      <w:tr>
        <w:trPr>
          <w:tblHeader/>
        </w:trPr>
        <w:tc>
          <w:tcPr>
            <w:tcW w:type="dxa" w:w="2300"/>
            <w:shd w:fill="1F3864" w:val="clear"/>
            <w:tcMar>
              <w:top w:type="dxa" w:w="60"/>
              <w:left w:type="dxa" w:w="80"/>
              <w:bottom w:type="dxa" w:w="60"/>
              <w:right w:type="dxa" w:w="80"/>
            </w:tcMar>
          </w:tcPr>
          <w:p>
            <w:r>
              <w:rPr>
                <w:b/>
                <w:bCs/>
                <w:color w:val="FFFFFF"/>
                <w:sz w:val="19"/>
                <w:szCs w:val="19"/>
              </w:rPr>
              <w:t xml:space="preserve">Adapter Type</w:t>
            </w:r>
          </w:p>
        </w:tc>
        <w:tc>
          <w:tcPr>
            <w:tcW w:type="dxa" w:w="3200"/>
            <w:shd w:fill="1F3864" w:val="clear"/>
            <w:tcMar>
              <w:top w:type="dxa" w:w="60"/>
              <w:left w:type="dxa" w:w="80"/>
              <w:bottom w:type="dxa" w:w="60"/>
              <w:right w:type="dxa" w:w="80"/>
            </w:tcMar>
          </w:tcPr>
          <w:p>
            <w:r>
              <w:rPr>
                <w:b/>
                <w:bCs/>
                <w:color w:val="FFFFFF"/>
                <w:sz w:val="19"/>
                <w:szCs w:val="19"/>
              </w:rPr>
              <w:t xml:space="preserve">Typical Purpose</w:t>
            </w:r>
          </w:p>
        </w:tc>
        <w:tc>
          <w:tcPr>
            <w:tcW w:type="dxa" w:w="3800"/>
            <w:shd w:fill="1F3864" w:val="clear"/>
            <w:tcMar>
              <w:top w:type="dxa" w:w="60"/>
              <w:left w:type="dxa" w:w="80"/>
              <w:bottom w:type="dxa" w:w="60"/>
              <w:right w:type="dxa" w:w="80"/>
            </w:tcMar>
          </w:tcPr>
          <w:p>
            <w:r>
              <w:rPr>
                <w:b/>
                <w:bCs/>
                <w:color w:val="FFFFFF"/>
                <w:sz w:val="19"/>
                <w:szCs w:val="19"/>
              </w:rPr>
              <w:t xml:space="preserve">Reference Examples Encountered</w:t>
            </w:r>
          </w:p>
        </w:tc>
      </w:tr>
      <w:tr>
        <w:tc>
          <w:tcPr>
            <w:tcW w:type="dxa" w:w="2300"/>
            <w:shd w:fill="FFFFFF" w:val="clear"/>
            <w:tcMar>
              <w:top w:type="dxa" w:w="60"/>
              <w:left w:type="dxa" w:w="80"/>
              <w:bottom w:type="dxa" w:w="60"/>
              <w:right w:type="dxa" w:w="80"/>
            </w:tcMar>
          </w:tcPr>
          <w:p>
            <w:r>
              <w:rPr>
                <w:sz w:val="19"/>
                <w:szCs w:val="19"/>
              </w:rPr>
              <w:t xml:space="preserve">Core Banking Adapter</w:t>
            </w:r>
          </w:p>
        </w:tc>
        <w:tc>
          <w:tcPr>
            <w:tcW w:type="dxa" w:w="3200"/>
            <w:shd w:fill="FFFFFF" w:val="clear"/>
            <w:tcMar>
              <w:top w:type="dxa" w:w="60"/>
              <w:left w:type="dxa" w:w="80"/>
              <w:bottom w:type="dxa" w:w="60"/>
              <w:right w:type="dxa" w:w="80"/>
            </w:tcMar>
          </w:tcPr>
          <w:p>
            <w:r>
              <w:rPr>
                <w:sz w:val="19"/>
                <w:szCs w:val="19"/>
              </w:rPr>
              <w:t xml:space="preserve">Existing facility limits, utilization, repayment schedules</w:t>
            </w:r>
          </w:p>
        </w:tc>
        <w:tc>
          <w:tcPr>
            <w:tcW w:type="dxa" w:w="3800"/>
            <w:shd w:fill="FFFFFF" w:val="clear"/>
            <w:tcMar>
              <w:top w:type="dxa" w:w="60"/>
              <w:left w:type="dxa" w:w="80"/>
              <w:bottom w:type="dxa" w:w="60"/>
              <w:right w:type="dxa" w:w="80"/>
            </w:tcMar>
          </w:tcPr>
          <w:p>
            <w:r>
              <w:rPr>
                <w:sz w:val="19"/>
                <w:szCs w:val="19"/>
              </w:rPr>
              <w:t xml:space="preserve">BaNCS (illustrative — varies per client)</w:t>
            </w:r>
          </w:p>
        </w:tc>
      </w:tr>
      <w:tr>
        <w:tc>
          <w:tcPr>
            <w:tcW w:type="dxa" w:w="2300"/>
            <w:shd w:fill="DCE6F1" w:val="clear"/>
            <w:tcMar>
              <w:top w:type="dxa" w:w="60"/>
              <w:left w:type="dxa" w:w="80"/>
              <w:bottom w:type="dxa" w:w="60"/>
              <w:right w:type="dxa" w:w="80"/>
            </w:tcMar>
          </w:tcPr>
          <w:p>
            <w:r>
              <w:rPr>
                <w:sz w:val="19"/>
                <w:szCs w:val="19"/>
              </w:rPr>
              <w:t xml:space="preserve">Customer Master / CRM Adapter</w:t>
            </w:r>
          </w:p>
        </w:tc>
        <w:tc>
          <w:tcPr>
            <w:tcW w:type="dxa" w:w="3200"/>
            <w:shd w:fill="DCE6F1" w:val="clear"/>
            <w:tcMar>
              <w:top w:type="dxa" w:w="60"/>
              <w:left w:type="dxa" w:w="80"/>
              <w:bottom w:type="dxa" w:w="60"/>
              <w:right w:type="dxa" w:w="80"/>
            </w:tcMar>
          </w:tcPr>
          <w:p>
            <w:r>
              <w:rPr>
                <w:sz w:val="19"/>
                <w:szCs w:val="19"/>
              </w:rPr>
              <w:t xml:space="preserve">Customer identifiers, group structure</w:t>
            </w:r>
          </w:p>
        </w:tc>
        <w:tc>
          <w:tcPr>
            <w:tcW w:type="dxa" w:w="3800"/>
            <w:shd w:fill="DCE6F1" w:val="clear"/>
            <w:tcMar>
              <w:top w:type="dxa" w:w="60"/>
              <w:left w:type="dxa" w:w="80"/>
              <w:bottom w:type="dxa" w:w="60"/>
              <w:right w:type="dxa" w:w="80"/>
            </w:tcMar>
          </w:tcPr>
          <w:p>
            <w:r>
              <w:rPr>
                <w:sz w:val="19"/>
                <w:szCs w:val="19"/>
              </w:rPr>
              <w:t xml:space="preserve">C360-equivalent</w:t>
            </w:r>
          </w:p>
        </w:tc>
      </w:tr>
      <w:tr>
        <w:tc>
          <w:tcPr>
            <w:tcW w:type="dxa" w:w="2300"/>
            <w:shd w:fill="FFFFFF" w:val="clear"/>
            <w:tcMar>
              <w:top w:type="dxa" w:w="60"/>
              <w:left w:type="dxa" w:w="80"/>
              <w:bottom w:type="dxa" w:w="60"/>
              <w:right w:type="dxa" w:w="80"/>
            </w:tcMar>
          </w:tcPr>
          <w:p>
            <w:r>
              <w:rPr>
                <w:sz w:val="19"/>
                <w:szCs w:val="19"/>
              </w:rPr>
              <w:t xml:space="preserve">Data Warehouse Adapter</w:t>
            </w:r>
          </w:p>
        </w:tc>
        <w:tc>
          <w:tcPr>
            <w:tcW w:type="dxa" w:w="3200"/>
            <w:shd w:fill="FFFFFF" w:val="clear"/>
            <w:tcMar>
              <w:top w:type="dxa" w:w="60"/>
              <w:left w:type="dxa" w:w="80"/>
              <w:bottom w:type="dxa" w:w="60"/>
              <w:right w:type="dxa" w:w="80"/>
            </w:tcMar>
          </w:tcPr>
          <w:p>
            <w:r>
              <w:rPr>
                <w:sz w:val="19"/>
                <w:szCs w:val="19"/>
              </w:rPr>
              <w:t xml:space="preserve">Exposure summaries, historical data, relationship profitability</w:t>
            </w:r>
          </w:p>
        </w:tc>
        <w:tc>
          <w:tcPr>
            <w:tcW w:type="dxa" w:w="3800"/>
            <w:shd w:fill="FFFFFF" w:val="clear"/>
            <w:tcMar>
              <w:top w:type="dxa" w:w="60"/>
              <w:left w:type="dxa" w:w="80"/>
              <w:bottom w:type="dxa" w:w="60"/>
              <w:right w:type="dxa" w:w="80"/>
            </w:tcMar>
          </w:tcPr>
          <w:p>
            <w:r>
              <w:rPr>
                <w:sz w:val="19"/>
                <w:szCs w:val="19"/>
              </w:rPr>
              <w:t xml:space="preserve">EDW-equivalent</w:t>
            </w:r>
          </w:p>
        </w:tc>
      </w:tr>
      <w:tr>
        <w:tc>
          <w:tcPr>
            <w:tcW w:type="dxa" w:w="2300"/>
            <w:shd w:fill="DCE6F1" w:val="clear"/>
            <w:tcMar>
              <w:top w:type="dxa" w:w="60"/>
              <w:left w:type="dxa" w:w="80"/>
              <w:bottom w:type="dxa" w:w="60"/>
              <w:right w:type="dxa" w:w="80"/>
            </w:tcMar>
          </w:tcPr>
          <w:p>
            <w:r>
              <w:rPr>
                <w:sz w:val="19"/>
                <w:szCs w:val="19"/>
              </w:rPr>
              <w:t xml:space="preserve">Credit Bureau Adapter</w:t>
            </w:r>
          </w:p>
        </w:tc>
        <w:tc>
          <w:tcPr>
            <w:tcW w:type="dxa" w:w="3200"/>
            <w:shd w:fill="DCE6F1" w:val="clear"/>
            <w:tcMar>
              <w:top w:type="dxa" w:w="60"/>
              <w:left w:type="dxa" w:w="80"/>
              <w:bottom w:type="dxa" w:w="60"/>
              <w:right w:type="dxa" w:w="80"/>
            </w:tcMar>
          </w:tcPr>
          <w:p>
            <w:r>
              <w:rPr>
                <w:sz w:val="19"/>
                <w:szCs w:val="19"/>
              </w:rPr>
              <w:t xml:space="preserve">External credit ratings/history</w:t>
            </w:r>
          </w:p>
        </w:tc>
        <w:tc>
          <w:tcPr>
            <w:tcW w:type="dxa" w:w="3800"/>
            <w:shd w:fill="DCE6F1" w:val="clear"/>
            <w:tcMar>
              <w:top w:type="dxa" w:w="60"/>
              <w:left w:type="dxa" w:w="80"/>
              <w:bottom w:type="dxa" w:w="60"/>
              <w:right w:type="dxa" w:w="80"/>
            </w:tcMar>
          </w:tcPr>
          <w:p>
            <w:r>
              <w:rPr>
                <w:sz w:val="19"/>
                <w:szCs w:val="19"/>
              </w:rPr>
              <w:t xml:space="preserve">Credit Lens / local bureau-equivalent</w:t>
            </w:r>
          </w:p>
        </w:tc>
      </w:tr>
      <w:tr>
        <w:tc>
          <w:tcPr>
            <w:tcW w:type="dxa" w:w="2300"/>
            <w:shd w:fill="FFFFFF" w:val="clear"/>
            <w:tcMar>
              <w:top w:type="dxa" w:w="60"/>
              <w:left w:type="dxa" w:w="80"/>
              <w:bottom w:type="dxa" w:w="60"/>
              <w:right w:type="dxa" w:w="80"/>
            </w:tcMar>
          </w:tcPr>
          <w:p>
            <w:r>
              <w:rPr>
                <w:sz w:val="19"/>
                <w:szCs w:val="19"/>
              </w:rPr>
              <w:t xml:space="preserve">Market/Peer Exposure Adapter</w:t>
            </w:r>
          </w:p>
        </w:tc>
        <w:tc>
          <w:tcPr>
            <w:tcW w:type="dxa" w:w="3200"/>
            <w:shd w:fill="FFFFFF" w:val="clear"/>
            <w:tcMar>
              <w:top w:type="dxa" w:w="60"/>
              <w:left w:type="dxa" w:w="80"/>
              <w:bottom w:type="dxa" w:w="60"/>
              <w:right w:type="dxa" w:w="80"/>
            </w:tcMar>
          </w:tcPr>
          <w:p>
            <w:r>
              <w:rPr>
                <w:sz w:val="19"/>
                <w:szCs w:val="19"/>
              </w:rPr>
              <w:t xml:space="preserve">Cross-bank exposure reporting where mandated</w:t>
            </w:r>
          </w:p>
        </w:tc>
        <w:tc>
          <w:tcPr>
            <w:tcW w:type="dxa" w:w="3800"/>
            <w:shd w:fill="FFFFFF" w:val="clear"/>
            <w:tcMar>
              <w:top w:type="dxa" w:w="60"/>
              <w:left w:type="dxa" w:w="80"/>
              <w:bottom w:type="dxa" w:w="60"/>
              <w:right w:type="dxa" w:w="80"/>
            </w:tcMar>
          </w:tcPr>
          <w:p>
            <w:r>
              <w:rPr>
                <w:sz w:val="19"/>
                <w:szCs w:val="19"/>
              </w:rPr>
              <w:t xml:space="preserve">Ci-Net-equivalent (jurisdiction-specific; may not exist in all markets)</w:t>
            </w:r>
          </w:p>
        </w:tc>
      </w:tr>
      <w:tr>
        <w:tc>
          <w:tcPr>
            <w:tcW w:type="dxa" w:w="2300"/>
            <w:shd w:fill="DCE6F1" w:val="clear"/>
            <w:tcMar>
              <w:top w:type="dxa" w:w="60"/>
              <w:left w:type="dxa" w:w="80"/>
              <w:bottom w:type="dxa" w:w="60"/>
              <w:right w:type="dxa" w:w="80"/>
            </w:tcMar>
          </w:tcPr>
          <w:p>
            <w:r>
              <w:rPr>
                <w:sz w:val="19"/>
                <w:szCs w:val="19"/>
              </w:rPr>
              <w:t xml:space="preserve">Identity Provider (IdP) Adapter</w:t>
            </w:r>
          </w:p>
        </w:tc>
        <w:tc>
          <w:tcPr>
            <w:tcW w:type="dxa" w:w="3200"/>
            <w:shd w:fill="DCE6F1" w:val="clear"/>
            <w:tcMar>
              <w:top w:type="dxa" w:w="60"/>
              <w:left w:type="dxa" w:w="80"/>
              <w:bottom w:type="dxa" w:w="60"/>
              <w:right w:type="dxa" w:w="80"/>
            </w:tcMar>
          </w:tcPr>
          <w:p>
            <w:r>
              <w:rPr>
                <w:sz w:val="19"/>
                <w:szCs w:val="19"/>
              </w:rPr>
              <w:t xml:space="preserve">Authentication, single sign-on, user provisioning/deprovisioning</w:t>
            </w:r>
          </w:p>
        </w:tc>
        <w:tc>
          <w:tcPr>
            <w:tcW w:type="dxa" w:w="3800"/>
            <w:shd w:fill="DCE6F1" w:val="clear"/>
            <w:tcMar>
              <w:top w:type="dxa" w:w="60"/>
              <w:left w:type="dxa" w:w="80"/>
              <w:bottom w:type="dxa" w:w="60"/>
              <w:right w:type="dxa" w:w="80"/>
            </w:tcMar>
          </w:tcPr>
          <w:p>
            <w:r>
              <w:rPr>
                <w:sz w:val="19"/>
                <w:szCs w:val="19"/>
              </w:rPr>
              <w:t xml:space="preserve">Active Directory/LDAP, Azure AD/Entra ID, Okta, or any SAML/OIDC-compliant IdP — see Section 22</w:t>
            </w:r>
          </w:p>
        </w:tc>
      </w:tr>
      <w:tr>
        <w:tc>
          <w:tcPr>
            <w:tcW w:type="dxa" w:w="2300"/>
            <w:shd w:fill="FFFFFF" w:val="clear"/>
            <w:tcMar>
              <w:top w:type="dxa" w:w="60"/>
              <w:left w:type="dxa" w:w="80"/>
              <w:bottom w:type="dxa" w:w="60"/>
              <w:right w:type="dxa" w:w="80"/>
            </w:tcMar>
          </w:tcPr>
          <w:p>
            <w:r>
              <w:rPr>
                <w:sz w:val="19"/>
                <w:szCs w:val="19"/>
              </w:rPr>
              <w:t xml:space="preserve">Document Management / ECM Adapter</w:t>
            </w:r>
          </w:p>
        </w:tc>
        <w:tc>
          <w:tcPr>
            <w:tcW w:type="dxa" w:w="3200"/>
            <w:shd w:fill="FFFFFF" w:val="clear"/>
            <w:tcMar>
              <w:top w:type="dxa" w:w="60"/>
              <w:left w:type="dxa" w:w="80"/>
              <w:bottom w:type="dxa" w:w="60"/>
              <w:right w:type="dxa" w:w="80"/>
            </w:tcMar>
          </w:tcPr>
          <w:p>
            <w:r>
              <w:rPr>
                <w:sz w:val="19"/>
                <w:szCs w:val="19"/>
              </w:rPr>
              <w:t xml:space="preserve">Storage and retrieval of uploaded documents and generated outputs</w:t>
            </w:r>
          </w:p>
        </w:tc>
        <w:tc>
          <w:tcPr>
            <w:tcW w:type="dxa" w:w="3800"/>
            <w:shd w:fill="FFFFFF" w:val="clear"/>
            <w:tcMar>
              <w:top w:type="dxa" w:w="60"/>
              <w:left w:type="dxa" w:w="80"/>
              <w:bottom w:type="dxa" w:w="60"/>
              <w:right w:type="dxa" w:w="80"/>
            </w:tcMar>
          </w:tcPr>
          <w:p>
            <w:r>
              <w:rPr>
                <w:sz w:val="19"/>
                <w:szCs w:val="19"/>
              </w:rPr>
              <w:t xml:space="preserve">Client's existing ECM/SharePoint-equivalent</w:t>
            </w:r>
          </w:p>
        </w:tc>
      </w:tr>
    </w:tbl>
    <w:p>
      <w:pPr>
        <w:pStyle w:val="Heading2"/>
        <w:keepNext/>
        <w:spacing w:after="140" w:before="320"/>
      </w:pPr>
      <w:r>
        <w:rPr>
          <w:b/>
          <w:bCs/>
          <w:color w:val="2E5496"/>
          <w:sz w:val="26"/>
          <w:szCs w:val="26"/>
        </w:rPr>
        <w:t xml:space="preserve">11.2 Data Source &amp; Refresh Pattern</w:t>
      </w:r>
    </w:p>
    <w:p>
      <w:pPr>
        <w:spacing w:after="160"/>
      </w:pPr>
      <w:r>
        <w:rPr>
          <w:sz w:val="21"/>
          <w:szCs w:val="21"/>
        </w:rPr>
        <w:t xml:space="preserve">For every integrated field, the platform must support a manual Refresh action (pulling latest data from the source adapter) separate from the initial pre-population, with the refresh action scoped to a named role (not available to every user by default).</w:t>
      </w:r>
    </w:p>
    <w:p>
      <w:pPr>
        <w:pStyle w:val="Heading1"/>
        <w:pageBreakBefore/>
        <w:spacing w:after="200" w:before="400"/>
      </w:pPr>
      <w:r>
        <w:rPr>
          <w:b/>
          <w:bCs/>
          <w:color w:val="1F3864"/>
          <w:sz w:val="32"/>
          <w:szCs w:val="32"/>
        </w:rPr>
        <w:t xml:space="preserve">12. Non-Functional Requirements</w:t>
      </w:r>
    </w:p>
    <w:p>
      <w:pPr>
        <w:pStyle w:val="ListParagraph"/>
        <w:numPr>
          <w:ilvl w:val="0"/>
          <w:numId w:val="2"/>
        </w:numPr>
        <w:spacing w:after="80"/>
      </w:pPr>
      <w:r>
        <w:rPr>
          <w:sz w:val="21"/>
          <w:szCs w:val="21"/>
        </w:rPr>
        <w:t xml:space="preserve">Multi-currency support as a core capability, not an add-on — every limit/value field carries an explicit currency, with cross-currency collateral/facility mismatches flagged.</w:t>
      </w:r>
    </w:p>
    <w:p>
      <w:pPr>
        <w:pStyle w:val="ListParagraph"/>
        <w:numPr>
          <w:ilvl w:val="0"/>
          <w:numId w:val="2"/>
        </w:numPr>
        <w:spacing w:after="80"/>
      </w:pPr>
      <w:r>
        <w:rPr>
          <w:sz w:val="21"/>
          <w:szCs w:val="21"/>
        </w:rPr>
        <w:t xml:space="preserve">Multi-jurisdiction configuration — regulatory guardrails (Section 9), committee structure, and product catalog are all per-client configuration, loaded at tenant setup.</w:t>
      </w:r>
    </w:p>
    <w:p>
      <w:pPr>
        <w:pStyle w:val="ListParagraph"/>
        <w:numPr>
          <w:ilvl w:val="0"/>
          <w:numId w:val="2"/>
        </w:numPr>
        <w:spacing w:after="80"/>
      </w:pPr>
      <w:r>
        <w:rPr>
          <w:sz w:val="21"/>
          <w:szCs w:val="21"/>
        </w:rPr>
        <w:t xml:space="preserve">Full audit trail on every field change, workflow transition, and override/exception action (e.g., Accept Shortfall).</w:t>
      </w:r>
    </w:p>
    <w:p>
      <w:pPr>
        <w:pStyle w:val="ListParagraph"/>
        <w:numPr>
          <w:ilvl w:val="0"/>
          <w:numId w:val="2"/>
        </w:numPr>
        <w:spacing w:after="80"/>
      </w:pPr>
      <w:r>
        <w:rPr>
          <w:sz w:val="21"/>
          <w:szCs w:val="21"/>
        </w:rPr>
        <w:t xml:space="preserve">Configurable SLAs per workflow stage, with breach escalation rules defined per client.</w:t>
      </w:r>
    </w:p>
    <w:p>
      <w:pPr>
        <w:pStyle w:val="ListParagraph"/>
        <w:numPr>
          <w:ilvl w:val="0"/>
          <w:numId w:val="2"/>
        </w:numPr>
        <w:spacing w:after="80"/>
      </w:pPr>
      <w:r>
        <w:rPr>
          <w:sz w:val="21"/>
          <w:szCs w:val="21"/>
        </w:rPr>
        <w:t xml:space="preserve">Role-based access control enforced at the field level, not just the screen level.</w:t>
      </w:r>
    </w:p>
    <w:p>
      <w:pPr>
        <w:pStyle w:val="ListParagraph"/>
        <w:numPr>
          <w:ilvl w:val="0"/>
          <w:numId w:val="2"/>
        </w:numPr>
        <w:spacing w:after="80"/>
      </w:pPr>
      <w:r>
        <w:rPr>
          <w:sz w:val="21"/>
          <w:szCs w:val="21"/>
        </w:rPr>
        <w:t xml:space="preserve">Low-code administration (Section 20) for all routine configuration — new fields, rule changes, workflow edits, regulatory parameter updates — with a clearly scoped, minimal set of changes that still require a development engagement (Section 20.6).</w:t>
      </w:r>
    </w:p>
    <w:p>
      <w:pPr>
        <w:pStyle w:val="ListParagraph"/>
        <w:numPr>
          <w:ilvl w:val="0"/>
          <w:numId w:val="2"/>
        </w:numPr>
        <w:spacing w:after="80"/>
      </w:pPr>
      <w:r>
        <w:rPr>
          <w:sz w:val="21"/>
          <w:szCs w:val="21"/>
        </w:rPr>
        <w:t xml:space="preserve">A time-based scheduler/batch component (Section 23.4), distinct from the user-action-triggered rules engine, to support date-driven processes such as covenant due-date monitoring.</w:t>
      </w:r>
    </w:p>
    <w:p>
      <w:pPr>
        <w:pStyle w:val="ListParagraph"/>
        <w:numPr>
          <w:ilvl w:val="0"/>
          <w:numId w:val="2"/>
        </w:numPr>
        <w:spacing w:after="80"/>
      </w:pPr>
      <w:r>
        <w:rPr>
          <w:sz w:val="21"/>
          <w:szCs w:val="21"/>
        </w:rPr>
        <w:t xml:space="preserve">Security, audit-trail, and data-integrity controls as specified in Section 26; technology choices and build-enforced engineering guardrails as specified in Section 25.</w:t>
      </w:r>
    </w:p>
    <w:p>
      <w:pPr>
        <w:pStyle w:val="Heading1"/>
        <w:pageBreakBefore/>
        <w:spacing w:after="200" w:before="400"/>
      </w:pPr>
      <w:r>
        <w:rPr>
          <w:b/>
          <w:bCs/>
          <w:color w:val="1F3864"/>
          <w:sz w:val="32"/>
          <w:szCs w:val="32"/>
        </w:rPr>
        <w:t xml:space="preserve">13. Repayment Schedule Builder</w:t>
      </w:r>
    </w:p>
    <w:p>
      <w:pPr>
        <w:spacing w:after="160"/>
      </w:pPr>
      <w:r>
        <w:rPr>
          <w:sz w:val="21"/>
          <w:szCs w:val="21"/>
        </w:rPr>
        <w:t xml:space="preserve">This section is carried forward near-verbatim from the reference engagement, since it was one of the better-specified parts of that document — a genuinely reusable, fully-specified amortization schedule builder with explicit conditional logic. Unlike most of the rest of the reference material, every field below already states its mandatory/conditional/optional status and its trigger condition, which is the standard this document asks every other module to meet (Section 8.3).</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2300"/>
        <w:gridCol w:w="1600"/>
        <w:gridCol w:w="2600"/>
      </w:tblGrid>
      <w:tr>
        <w:trPr>
          <w:tblHeader/>
        </w:trPr>
        <w:tc>
          <w:tcPr>
            <w:tcW w:type="dxa" w:w="2500"/>
            <w:shd w:fill="1F3864" w:val="clear"/>
            <w:tcMar>
              <w:top w:type="dxa" w:w="60"/>
              <w:left w:type="dxa" w:w="80"/>
              <w:bottom w:type="dxa" w:w="60"/>
              <w:right w:type="dxa" w:w="80"/>
            </w:tcMar>
          </w:tcPr>
          <w:p>
            <w:r>
              <w:rPr>
                <w:b/>
                <w:bCs/>
                <w:color w:val="FFFFFF"/>
                <w:sz w:val="19"/>
                <w:szCs w:val="19"/>
              </w:rPr>
              <w:t xml:space="preserve">Field</w:t>
            </w:r>
          </w:p>
        </w:tc>
        <w:tc>
          <w:tcPr>
            <w:tcW w:type="dxa" w:w="2300"/>
            <w:shd w:fill="1F3864" w:val="clear"/>
            <w:tcMar>
              <w:top w:type="dxa" w:w="60"/>
              <w:left w:type="dxa" w:w="80"/>
              <w:bottom w:type="dxa" w:w="60"/>
              <w:right w:type="dxa" w:w="80"/>
            </w:tcMar>
          </w:tcPr>
          <w:p>
            <w:r>
              <w:rPr>
                <w:b/>
                <w:bCs/>
                <w:color w:val="FFFFFF"/>
                <w:sz w:val="19"/>
                <w:szCs w:val="19"/>
              </w:rPr>
              <w:t xml:space="preserve">Format</w:t>
            </w:r>
          </w:p>
        </w:tc>
        <w:tc>
          <w:tcPr>
            <w:tcW w:type="dxa" w:w="1600"/>
            <w:shd w:fill="1F3864" w:val="clear"/>
            <w:tcMar>
              <w:top w:type="dxa" w:w="60"/>
              <w:left w:type="dxa" w:w="80"/>
              <w:bottom w:type="dxa" w:w="60"/>
              <w:right w:type="dxa" w:w="80"/>
            </w:tcMar>
          </w:tcPr>
          <w:p>
            <w:r>
              <w:rPr>
                <w:b/>
                <w:bCs/>
                <w:color w:val="FFFFFF"/>
                <w:sz w:val="19"/>
                <w:szCs w:val="19"/>
              </w:rPr>
              <w:t xml:space="preserve">Mandatory?</w:t>
            </w:r>
          </w:p>
        </w:tc>
        <w:tc>
          <w:tcPr>
            <w:tcW w:type="dxa" w:w="2600"/>
            <w:shd w:fill="1F3864" w:val="clear"/>
            <w:tcMar>
              <w:top w:type="dxa" w:w="60"/>
              <w:left w:type="dxa" w:w="80"/>
              <w:bottom w:type="dxa" w:w="60"/>
              <w:right w:type="dxa" w:w="80"/>
            </w:tcMar>
          </w:tcPr>
          <w:p>
            <w:r>
              <w:rPr>
                <w:b/>
                <w:bCs/>
                <w:color w:val="FFFFFF"/>
                <w:sz w:val="19"/>
                <w:szCs w:val="19"/>
              </w:rPr>
              <w:t xml:space="preserve">Rule / Trigger</w:t>
            </w:r>
          </w:p>
        </w:tc>
      </w:tr>
      <w:tr>
        <w:tc>
          <w:tcPr>
            <w:tcW w:type="dxa" w:w="2500"/>
            <w:shd w:fill="FFFFFF" w:val="clear"/>
            <w:tcMar>
              <w:top w:type="dxa" w:w="60"/>
              <w:left w:type="dxa" w:w="80"/>
              <w:bottom w:type="dxa" w:w="60"/>
              <w:right w:type="dxa" w:w="80"/>
            </w:tcMar>
          </w:tcPr>
          <w:p>
            <w:r>
              <w:rPr>
                <w:sz w:val="19"/>
                <w:szCs w:val="19"/>
              </w:rPr>
              <w:t xml:space="preserve">Product Feature</w:t>
            </w:r>
          </w:p>
        </w:tc>
        <w:tc>
          <w:tcPr>
            <w:tcW w:type="dxa" w:w="2300"/>
            <w:shd w:fill="FFFFFF" w:val="clear"/>
            <w:tcMar>
              <w:top w:type="dxa" w:w="60"/>
              <w:left w:type="dxa" w:w="80"/>
              <w:bottom w:type="dxa" w:w="60"/>
              <w:right w:type="dxa" w:w="80"/>
            </w:tcMar>
          </w:tcPr>
          <w:p>
            <w:r>
              <w:rPr>
                <w:sz w:val="19"/>
                <w:szCs w:val="19"/>
              </w:rPr>
              <w:t xml:space="preserve">Dropdown (P&amp;I Loan / Flex Repay)</w:t>
            </w:r>
          </w:p>
        </w:tc>
        <w:tc>
          <w:tcPr>
            <w:tcW w:type="dxa" w:w="1600"/>
            <w:shd w:fill="FFFFFF" w:val="clear"/>
            <w:tcMar>
              <w:top w:type="dxa" w:w="60"/>
              <w:left w:type="dxa" w:w="80"/>
              <w:bottom w:type="dxa" w:w="60"/>
              <w:right w:type="dxa" w:w="80"/>
            </w:tcMar>
          </w:tcPr>
          <w:p>
            <w:r>
              <w:rPr>
                <w:sz w:val="19"/>
                <w:szCs w:val="19"/>
              </w:rPr>
              <w:t xml:space="preserve">Mandatory</w:t>
            </w:r>
          </w:p>
        </w:tc>
        <w:tc>
          <w:tcPr>
            <w:tcW w:type="dxa" w:w="2600"/>
            <w:shd w:fill="FFFFFF" w:val="clear"/>
            <w:tcMar>
              <w:top w:type="dxa" w:w="60"/>
              <w:left w:type="dxa" w:w="80"/>
              <w:bottom w:type="dxa" w:w="60"/>
              <w:right w:type="dxa" w:w="80"/>
            </w:tcMar>
          </w:tcPr>
          <w:p>
            <w:r>
              <w:rPr>
                <w:sz w:val="19"/>
                <w:szCs w:val="19"/>
              </w:rPr>
              <w:t xml:space="preserve">Drives which downstream fields are enabled</w:t>
            </w:r>
          </w:p>
        </w:tc>
      </w:tr>
      <w:tr>
        <w:tc>
          <w:tcPr>
            <w:tcW w:type="dxa" w:w="2500"/>
            <w:shd w:fill="DCE6F1" w:val="clear"/>
            <w:tcMar>
              <w:top w:type="dxa" w:w="60"/>
              <w:left w:type="dxa" w:w="80"/>
              <w:bottom w:type="dxa" w:w="60"/>
              <w:right w:type="dxa" w:w="80"/>
            </w:tcMar>
          </w:tcPr>
          <w:p>
            <w:r>
              <w:rPr>
                <w:sz w:val="19"/>
                <w:szCs w:val="19"/>
              </w:rPr>
              <w:t xml:space="preserve">Currency</w:t>
            </w:r>
          </w:p>
        </w:tc>
        <w:tc>
          <w:tcPr>
            <w:tcW w:type="dxa" w:w="2300"/>
            <w:shd w:fill="DCE6F1" w:val="clear"/>
            <w:tcMar>
              <w:top w:type="dxa" w:w="60"/>
              <w:left w:type="dxa" w:w="80"/>
              <w:bottom w:type="dxa" w:w="60"/>
              <w:right w:type="dxa" w:w="80"/>
            </w:tcMar>
          </w:tcPr>
          <w:p>
            <w:r>
              <w:rPr>
                <w:sz w:val="19"/>
                <w:szCs w:val="19"/>
              </w:rPr>
              <w:t xml:space="preserve">Dropdown</w:t>
            </w:r>
          </w:p>
        </w:tc>
        <w:tc>
          <w:tcPr>
            <w:tcW w:type="dxa" w:w="1600"/>
            <w:shd w:fill="DCE6F1" w:val="clear"/>
            <w:tcMar>
              <w:top w:type="dxa" w:w="60"/>
              <w:left w:type="dxa" w:w="80"/>
              <w:bottom w:type="dxa" w:w="60"/>
              <w:right w:type="dxa" w:w="80"/>
            </w:tcMar>
          </w:tcPr>
          <w:p>
            <w:r>
              <w:rPr>
                <w:sz w:val="19"/>
                <w:szCs w:val="19"/>
              </w:rPr>
              <w:t xml:space="preserve">Mandatory</w:t>
            </w:r>
          </w:p>
        </w:tc>
        <w:tc>
          <w:tcPr>
            <w:tcW w:type="dxa" w:w="2600"/>
            <w:shd w:fill="DCE6F1" w:val="clear"/>
            <w:tcMar>
              <w:top w:type="dxa" w:w="60"/>
              <w:left w:type="dxa" w:w="80"/>
              <w:bottom w:type="dxa" w:w="60"/>
              <w:right w:type="dxa" w:w="80"/>
            </w:tcMar>
          </w:tcPr>
          <w:p>
            <w:r>
              <w:rPr>
                <w:sz w:val="19"/>
                <w:szCs w:val="19"/>
              </w:rPr>
              <w:t xml:space="preserve">Multi-currency catalog, not hardcoded to one currency</w:t>
            </w:r>
          </w:p>
        </w:tc>
      </w:tr>
      <w:tr>
        <w:tc>
          <w:tcPr>
            <w:tcW w:type="dxa" w:w="2500"/>
            <w:shd w:fill="FFFFFF" w:val="clear"/>
            <w:tcMar>
              <w:top w:type="dxa" w:w="60"/>
              <w:left w:type="dxa" w:w="80"/>
              <w:bottom w:type="dxa" w:w="60"/>
              <w:right w:type="dxa" w:w="80"/>
            </w:tcMar>
          </w:tcPr>
          <w:p>
            <w:r>
              <w:rPr>
                <w:sz w:val="19"/>
                <w:szCs w:val="19"/>
              </w:rPr>
              <w:t xml:space="preserve">Interest Rate</w:t>
            </w:r>
          </w:p>
        </w:tc>
        <w:tc>
          <w:tcPr>
            <w:tcW w:type="dxa" w:w="2300"/>
            <w:shd w:fill="FFFFFF" w:val="clear"/>
            <w:tcMar>
              <w:top w:type="dxa" w:w="60"/>
              <w:left w:type="dxa" w:w="80"/>
              <w:bottom w:type="dxa" w:w="60"/>
              <w:right w:type="dxa" w:w="80"/>
            </w:tcMar>
          </w:tcPr>
          <w:p>
            <w:r>
              <w:rPr>
                <w:sz w:val="19"/>
                <w:szCs w:val="19"/>
              </w:rPr>
              <w:t xml:space="preserve">Percentage</w:t>
            </w:r>
          </w:p>
        </w:tc>
        <w:tc>
          <w:tcPr>
            <w:tcW w:type="dxa" w:w="1600"/>
            <w:shd w:fill="FFFFFF" w:val="clear"/>
            <w:tcMar>
              <w:top w:type="dxa" w:w="60"/>
              <w:left w:type="dxa" w:w="80"/>
              <w:bottom w:type="dxa" w:w="60"/>
              <w:right w:type="dxa" w:w="80"/>
            </w:tcMar>
          </w:tcPr>
          <w:p>
            <w:r>
              <w:rPr>
                <w:sz w:val="19"/>
                <w:szCs w:val="19"/>
              </w:rPr>
              <w:t xml:space="preserve">Mandatory</w:t>
            </w:r>
          </w:p>
        </w:tc>
        <w:tc>
          <w:tcPr>
            <w:tcW w:type="dxa" w:w="2600"/>
            <w:shd w:fill="FFFFFF" w:val="clear"/>
            <w:tcMar>
              <w:top w:type="dxa" w:w="60"/>
              <w:left w:type="dxa" w:w="80"/>
              <w:bottom w:type="dxa" w:w="60"/>
              <w:right w:type="dxa" w:w="80"/>
            </w:tcMar>
          </w:tcPr>
          <w:p>
            <w:r>
              <w:rPr>
                <w:sz w:val="19"/>
                <w:szCs w:val="19"/>
              </w:rPr>
              <w:t xml:space="preserve">Interest calculated at this rate</w:t>
            </w:r>
          </w:p>
        </w:tc>
      </w:tr>
      <w:tr>
        <w:tc>
          <w:tcPr>
            <w:tcW w:type="dxa" w:w="2500"/>
            <w:shd w:fill="DCE6F1" w:val="clear"/>
            <w:tcMar>
              <w:top w:type="dxa" w:w="60"/>
              <w:left w:type="dxa" w:w="80"/>
              <w:bottom w:type="dxa" w:w="60"/>
              <w:right w:type="dxa" w:w="80"/>
            </w:tcMar>
          </w:tcPr>
          <w:p>
            <w:r>
              <w:rPr>
                <w:sz w:val="19"/>
                <w:szCs w:val="19"/>
              </w:rPr>
              <w:t xml:space="preserve">Application Amount</w:t>
            </w:r>
          </w:p>
        </w:tc>
        <w:tc>
          <w:tcPr>
            <w:tcW w:type="dxa" w:w="2300"/>
            <w:shd w:fill="DCE6F1" w:val="clear"/>
            <w:tcMar>
              <w:top w:type="dxa" w:w="60"/>
              <w:left w:type="dxa" w:w="80"/>
              <w:bottom w:type="dxa" w:w="60"/>
              <w:right w:type="dxa" w:w="80"/>
            </w:tcMar>
          </w:tcPr>
          <w:p>
            <w:r>
              <w:rPr>
                <w:sz w:val="19"/>
                <w:szCs w:val="19"/>
              </w:rPr>
              <w:t xml:space="preserve">Number</w:t>
            </w:r>
          </w:p>
        </w:tc>
        <w:tc>
          <w:tcPr>
            <w:tcW w:type="dxa" w:w="1600"/>
            <w:shd w:fill="DCE6F1" w:val="clear"/>
            <w:tcMar>
              <w:top w:type="dxa" w:w="60"/>
              <w:left w:type="dxa" w:w="80"/>
              <w:bottom w:type="dxa" w:w="60"/>
              <w:right w:type="dxa" w:w="80"/>
            </w:tcMar>
          </w:tcPr>
          <w:p>
            <w:r>
              <w:rPr>
                <w:sz w:val="19"/>
                <w:szCs w:val="19"/>
              </w:rPr>
              <w:t xml:space="preserve">Mandatory</w:t>
            </w:r>
          </w:p>
        </w:tc>
        <w:tc>
          <w:tcPr>
            <w:tcW w:type="dxa" w:w="2600"/>
            <w:shd w:fill="DCE6F1" w:val="clear"/>
            <w:tcMar>
              <w:top w:type="dxa" w:w="60"/>
              <w:left w:type="dxa" w:w="80"/>
              <w:bottom w:type="dxa" w:w="60"/>
              <w:right w:type="dxa" w:w="80"/>
            </w:tcMar>
          </w:tcPr>
          <w:p>
            <w:r>
              <w:rPr>
                <w:sz w:val="19"/>
                <w:szCs w:val="19"/>
              </w:rPr>
              <w:t xml:space="preserve">Loan principal amount</w:t>
            </w:r>
          </w:p>
        </w:tc>
      </w:tr>
      <w:tr>
        <w:tc>
          <w:tcPr>
            <w:tcW w:type="dxa" w:w="2500"/>
            <w:shd w:fill="FFFFFF" w:val="clear"/>
            <w:tcMar>
              <w:top w:type="dxa" w:w="60"/>
              <w:left w:type="dxa" w:w="80"/>
              <w:bottom w:type="dxa" w:w="60"/>
              <w:right w:type="dxa" w:w="80"/>
            </w:tcMar>
          </w:tcPr>
          <w:p>
            <w:r>
              <w:rPr>
                <w:sz w:val="19"/>
                <w:szCs w:val="19"/>
              </w:rPr>
              <w:t xml:space="preserve">Loan Term (Months)</w:t>
            </w:r>
          </w:p>
        </w:tc>
        <w:tc>
          <w:tcPr>
            <w:tcW w:type="dxa" w:w="2300"/>
            <w:shd w:fill="FFFFFF" w:val="clear"/>
            <w:tcMar>
              <w:top w:type="dxa" w:w="60"/>
              <w:left w:type="dxa" w:w="80"/>
              <w:bottom w:type="dxa" w:w="60"/>
              <w:right w:type="dxa" w:w="80"/>
            </w:tcMar>
          </w:tcPr>
          <w:p>
            <w:r>
              <w:rPr>
                <w:sz w:val="19"/>
                <w:szCs w:val="19"/>
              </w:rPr>
              <w:t xml:space="preserve">Number</w:t>
            </w:r>
          </w:p>
        </w:tc>
        <w:tc>
          <w:tcPr>
            <w:tcW w:type="dxa" w:w="1600"/>
            <w:shd w:fill="FFFFFF" w:val="clear"/>
            <w:tcMar>
              <w:top w:type="dxa" w:w="60"/>
              <w:left w:type="dxa" w:w="80"/>
              <w:bottom w:type="dxa" w:w="60"/>
              <w:right w:type="dxa" w:w="80"/>
            </w:tcMar>
          </w:tcPr>
          <w:p>
            <w:r>
              <w:rPr>
                <w:sz w:val="19"/>
                <w:szCs w:val="19"/>
              </w:rPr>
              <w:t xml:space="preserve">Conditional</w:t>
            </w:r>
          </w:p>
        </w:tc>
        <w:tc>
          <w:tcPr>
            <w:tcW w:type="dxa" w:w="2600"/>
            <w:shd w:fill="FFFFFF" w:val="clear"/>
            <w:tcMar>
              <w:top w:type="dxa" w:w="60"/>
              <w:left w:type="dxa" w:w="80"/>
              <w:bottom w:type="dxa" w:w="60"/>
              <w:right w:type="dxa" w:w="80"/>
            </w:tcMar>
          </w:tcPr>
          <w:p>
            <w:r>
              <w:rPr>
                <w:sz w:val="19"/>
                <w:szCs w:val="19"/>
              </w:rPr>
              <w:t xml:space="preserve">Either this or Number of Installments is required, not both</w:t>
            </w:r>
          </w:p>
        </w:tc>
      </w:tr>
      <w:tr>
        <w:tc>
          <w:tcPr>
            <w:tcW w:type="dxa" w:w="2500"/>
            <w:shd w:fill="DCE6F1" w:val="clear"/>
            <w:tcMar>
              <w:top w:type="dxa" w:w="60"/>
              <w:left w:type="dxa" w:w="80"/>
              <w:bottom w:type="dxa" w:w="60"/>
              <w:right w:type="dxa" w:w="80"/>
            </w:tcMar>
          </w:tcPr>
          <w:p>
            <w:r>
              <w:rPr>
                <w:sz w:val="19"/>
                <w:szCs w:val="19"/>
              </w:rPr>
              <w:t xml:space="preserve">Loan Term Basis</w:t>
            </w:r>
          </w:p>
        </w:tc>
        <w:tc>
          <w:tcPr>
            <w:tcW w:type="dxa" w:w="2300"/>
            <w:shd w:fill="DCE6F1" w:val="clear"/>
            <w:tcMar>
              <w:top w:type="dxa" w:w="60"/>
              <w:left w:type="dxa" w:w="80"/>
              <w:bottom w:type="dxa" w:w="60"/>
              <w:right w:type="dxa" w:w="80"/>
            </w:tcMar>
          </w:tcPr>
          <w:p>
            <w:r>
              <w:rPr>
                <w:sz w:val="19"/>
                <w:szCs w:val="19"/>
              </w:rPr>
              <w:t xml:space="preserve">Dropdown (Days/Months)</w:t>
            </w:r>
          </w:p>
        </w:tc>
        <w:tc>
          <w:tcPr>
            <w:tcW w:type="dxa" w:w="1600"/>
            <w:shd w:fill="DCE6F1" w:val="clear"/>
            <w:tcMar>
              <w:top w:type="dxa" w:w="60"/>
              <w:left w:type="dxa" w:w="80"/>
              <w:bottom w:type="dxa" w:w="60"/>
              <w:right w:type="dxa" w:w="80"/>
            </w:tcMar>
          </w:tcPr>
          <w:p>
            <w:r>
              <w:rPr>
                <w:sz w:val="19"/>
                <w:szCs w:val="19"/>
              </w:rPr>
              <w:t xml:space="preserve">Conditional</w:t>
            </w:r>
          </w:p>
        </w:tc>
        <w:tc>
          <w:tcPr>
            <w:tcW w:type="dxa" w:w="2600"/>
            <w:shd w:fill="DCE6F1" w:val="clear"/>
            <w:tcMar>
              <w:top w:type="dxa" w:w="60"/>
              <w:left w:type="dxa" w:w="80"/>
              <w:bottom w:type="dxa" w:w="60"/>
              <w:right w:type="dxa" w:w="80"/>
            </w:tcMar>
          </w:tcPr>
          <w:p>
            <w:r>
              <w:rPr>
                <w:sz w:val="19"/>
                <w:szCs w:val="19"/>
              </w:rPr>
              <w:t xml:space="preserve">Required if Loan Term is provided; defaults to Months</w:t>
            </w:r>
          </w:p>
        </w:tc>
      </w:tr>
      <w:tr>
        <w:tc>
          <w:tcPr>
            <w:tcW w:type="dxa" w:w="2500"/>
            <w:shd w:fill="FFFFFF" w:val="clear"/>
            <w:tcMar>
              <w:top w:type="dxa" w:w="60"/>
              <w:left w:type="dxa" w:w="80"/>
              <w:bottom w:type="dxa" w:w="60"/>
              <w:right w:type="dxa" w:w="80"/>
            </w:tcMar>
          </w:tcPr>
          <w:p>
            <w:r>
              <w:rPr>
                <w:sz w:val="19"/>
                <w:szCs w:val="19"/>
              </w:rPr>
              <w:t xml:space="preserve">Number of Installments</w:t>
            </w:r>
          </w:p>
        </w:tc>
        <w:tc>
          <w:tcPr>
            <w:tcW w:type="dxa" w:w="2300"/>
            <w:shd w:fill="FFFFFF" w:val="clear"/>
            <w:tcMar>
              <w:top w:type="dxa" w:w="60"/>
              <w:left w:type="dxa" w:w="80"/>
              <w:bottom w:type="dxa" w:w="60"/>
              <w:right w:type="dxa" w:w="80"/>
            </w:tcMar>
          </w:tcPr>
          <w:p>
            <w:r>
              <w:rPr>
                <w:sz w:val="19"/>
                <w:szCs w:val="19"/>
              </w:rPr>
              <w:t xml:space="preserve">Number</w:t>
            </w:r>
          </w:p>
        </w:tc>
        <w:tc>
          <w:tcPr>
            <w:tcW w:type="dxa" w:w="1600"/>
            <w:shd w:fill="FFFFFF" w:val="clear"/>
            <w:tcMar>
              <w:top w:type="dxa" w:w="60"/>
              <w:left w:type="dxa" w:w="80"/>
              <w:bottom w:type="dxa" w:w="60"/>
              <w:right w:type="dxa" w:w="80"/>
            </w:tcMar>
          </w:tcPr>
          <w:p>
            <w:r>
              <w:rPr>
                <w:sz w:val="19"/>
                <w:szCs w:val="19"/>
              </w:rPr>
              <w:t xml:space="preserve">Conditional</w:t>
            </w:r>
          </w:p>
        </w:tc>
        <w:tc>
          <w:tcPr>
            <w:tcW w:type="dxa" w:w="2600"/>
            <w:shd w:fill="FFFFFF" w:val="clear"/>
            <w:tcMar>
              <w:top w:type="dxa" w:w="60"/>
              <w:left w:type="dxa" w:w="80"/>
              <w:bottom w:type="dxa" w:w="60"/>
              <w:right w:type="dxa" w:w="80"/>
            </w:tcMar>
          </w:tcPr>
          <w:p>
            <w:r>
              <w:rPr>
                <w:sz w:val="19"/>
                <w:szCs w:val="19"/>
              </w:rPr>
              <w:t xml:space="preserve">If provided, Loan Term is derived from this × Repayment Frequency</w:t>
            </w:r>
          </w:p>
        </w:tc>
      </w:tr>
      <w:tr>
        <w:tc>
          <w:tcPr>
            <w:tcW w:type="dxa" w:w="2500"/>
            <w:shd w:fill="DCE6F1" w:val="clear"/>
            <w:tcMar>
              <w:top w:type="dxa" w:w="60"/>
              <w:left w:type="dxa" w:w="80"/>
              <w:bottom w:type="dxa" w:w="60"/>
              <w:right w:type="dxa" w:w="80"/>
            </w:tcMar>
          </w:tcPr>
          <w:p>
            <w:r>
              <w:rPr>
                <w:sz w:val="19"/>
                <w:szCs w:val="19"/>
              </w:rPr>
              <w:t xml:space="preserve">Repayment Frequency</w:t>
            </w:r>
          </w:p>
        </w:tc>
        <w:tc>
          <w:tcPr>
            <w:tcW w:type="dxa" w:w="2300"/>
            <w:shd w:fill="DCE6F1" w:val="clear"/>
            <w:tcMar>
              <w:top w:type="dxa" w:w="60"/>
              <w:left w:type="dxa" w:w="80"/>
              <w:bottom w:type="dxa" w:w="60"/>
              <w:right w:type="dxa" w:w="80"/>
            </w:tcMar>
          </w:tcPr>
          <w:p>
            <w:r>
              <w:rPr>
                <w:sz w:val="19"/>
                <w:szCs w:val="19"/>
              </w:rPr>
              <w:t xml:space="preserve">Dropdown (Monthly/Quarterly/Half-Yearly/Yearly/End-of-Term)</w:t>
            </w:r>
          </w:p>
        </w:tc>
        <w:tc>
          <w:tcPr>
            <w:tcW w:type="dxa" w:w="1600"/>
            <w:shd w:fill="DCE6F1" w:val="clear"/>
            <w:tcMar>
              <w:top w:type="dxa" w:w="60"/>
              <w:left w:type="dxa" w:w="80"/>
              <w:bottom w:type="dxa" w:w="60"/>
              <w:right w:type="dxa" w:w="80"/>
            </w:tcMar>
          </w:tcPr>
          <w:p>
            <w:r>
              <w:rPr>
                <w:sz w:val="19"/>
                <w:szCs w:val="19"/>
              </w:rPr>
              <w:t xml:space="preserve">Mandatory</w:t>
            </w:r>
          </w:p>
        </w:tc>
        <w:tc>
          <w:tcPr>
            <w:tcW w:type="dxa" w:w="2600"/>
            <w:shd w:fill="DCE6F1" w:val="clear"/>
            <w:tcMar>
              <w:top w:type="dxa" w:w="60"/>
              <w:left w:type="dxa" w:w="80"/>
              <w:bottom w:type="dxa" w:w="60"/>
              <w:right w:type="dxa" w:w="80"/>
            </w:tcMar>
          </w:tcPr>
          <w:p>
            <w:r>
              <w:rPr>
                <w:sz w:val="19"/>
                <w:szCs w:val="19"/>
              </w:rPr>
              <w:t xml:space="preserve">—</w:t>
            </w:r>
          </w:p>
        </w:tc>
      </w:tr>
      <w:tr>
        <w:tc>
          <w:tcPr>
            <w:tcW w:type="dxa" w:w="2500"/>
            <w:shd w:fill="FFFFFF" w:val="clear"/>
            <w:tcMar>
              <w:top w:type="dxa" w:w="60"/>
              <w:left w:type="dxa" w:w="80"/>
              <w:bottom w:type="dxa" w:w="60"/>
              <w:right w:type="dxa" w:w="80"/>
            </w:tcMar>
          </w:tcPr>
          <w:p>
            <w:r>
              <w:rPr>
                <w:sz w:val="19"/>
                <w:szCs w:val="19"/>
              </w:rPr>
              <w:t xml:space="preserve">Interest Repay Frequency</w:t>
            </w:r>
          </w:p>
        </w:tc>
        <w:tc>
          <w:tcPr>
            <w:tcW w:type="dxa" w:w="2300"/>
            <w:shd w:fill="FFFFFF" w:val="clear"/>
            <w:tcMar>
              <w:top w:type="dxa" w:w="60"/>
              <w:left w:type="dxa" w:w="80"/>
              <w:bottom w:type="dxa" w:w="60"/>
              <w:right w:type="dxa" w:w="80"/>
            </w:tcMar>
          </w:tcPr>
          <w:p>
            <w:r>
              <w:rPr>
                <w:sz w:val="19"/>
                <w:szCs w:val="19"/>
              </w:rPr>
              <w:t xml:space="preserve">Dropdown</w:t>
            </w:r>
          </w:p>
        </w:tc>
        <w:tc>
          <w:tcPr>
            <w:tcW w:type="dxa" w:w="1600"/>
            <w:shd w:fill="FFFFFF" w:val="clear"/>
            <w:tcMar>
              <w:top w:type="dxa" w:w="60"/>
              <w:left w:type="dxa" w:w="80"/>
              <w:bottom w:type="dxa" w:w="60"/>
              <w:right w:type="dxa" w:w="80"/>
            </w:tcMar>
          </w:tcPr>
          <w:p>
            <w:r>
              <w:rPr>
                <w:sz w:val="19"/>
                <w:szCs w:val="19"/>
              </w:rPr>
              <w:t xml:space="preserve">Optional</w:t>
            </w:r>
          </w:p>
        </w:tc>
        <w:tc>
          <w:tcPr>
            <w:tcW w:type="dxa" w:w="2600"/>
            <w:shd w:fill="FFFFFF" w:val="clear"/>
            <w:tcMar>
              <w:top w:type="dxa" w:w="60"/>
              <w:left w:type="dxa" w:w="80"/>
              <w:bottom w:type="dxa" w:w="60"/>
              <w:right w:type="dxa" w:w="80"/>
            </w:tcMar>
          </w:tcPr>
          <w:p>
            <w:r>
              <w:rPr>
                <w:sz w:val="19"/>
                <w:szCs w:val="19"/>
              </w:rPr>
              <w:t xml:space="preserve">Disabled when Product Feature = P&amp;I Loan; defaults to Repayment Frequency if blank</w:t>
            </w:r>
          </w:p>
        </w:tc>
      </w:tr>
      <w:tr>
        <w:tc>
          <w:tcPr>
            <w:tcW w:type="dxa" w:w="2500"/>
            <w:shd w:fill="DCE6F1" w:val="clear"/>
            <w:tcMar>
              <w:top w:type="dxa" w:w="60"/>
              <w:left w:type="dxa" w:w="80"/>
              <w:bottom w:type="dxa" w:w="60"/>
              <w:right w:type="dxa" w:w="80"/>
            </w:tcMar>
          </w:tcPr>
          <w:p>
            <w:r>
              <w:rPr>
                <w:sz w:val="19"/>
                <w:szCs w:val="19"/>
              </w:rPr>
              <w:t xml:space="preserve">Fixed Principal Repay Amount</w:t>
            </w:r>
          </w:p>
        </w:tc>
        <w:tc>
          <w:tcPr>
            <w:tcW w:type="dxa" w:w="2300"/>
            <w:shd w:fill="DCE6F1" w:val="clear"/>
            <w:tcMar>
              <w:top w:type="dxa" w:w="60"/>
              <w:left w:type="dxa" w:w="80"/>
              <w:bottom w:type="dxa" w:w="60"/>
              <w:right w:type="dxa" w:w="80"/>
            </w:tcMar>
          </w:tcPr>
          <w:p>
            <w:r>
              <w:rPr>
                <w:sz w:val="19"/>
                <w:szCs w:val="19"/>
              </w:rPr>
              <w:t xml:space="preserve">Number</w:t>
            </w:r>
          </w:p>
        </w:tc>
        <w:tc>
          <w:tcPr>
            <w:tcW w:type="dxa" w:w="1600"/>
            <w:shd w:fill="DCE6F1" w:val="clear"/>
            <w:tcMar>
              <w:top w:type="dxa" w:w="60"/>
              <w:left w:type="dxa" w:w="80"/>
              <w:bottom w:type="dxa" w:w="60"/>
              <w:right w:type="dxa" w:w="80"/>
            </w:tcMar>
          </w:tcPr>
          <w:p>
            <w:r>
              <w:rPr>
                <w:sz w:val="19"/>
                <w:szCs w:val="19"/>
              </w:rPr>
              <w:t xml:space="preserve">Conditional</w:t>
            </w:r>
          </w:p>
        </w:tc>
        <w:tc>
          <w:tcPr>
            <w:tcW w:type="dxa" w:w="2600"/>
            <w:shd w:fill="DCE6F1" w:val="clear"/>
            <w:tcMar>
              <w:top w:type="dxa" w:w="60"/>
              <w:left w:type="dxa" w:w="80"/>
              <w:bottom w:type="dxa" w:w="60"/>
              <w:right w:type="dxa" w:w="80"/>
            </w:tcMar>
          </w:tcPr>
          <w:p>
            <w:r>
              <w:rPr>
                <w:sz w:val="19"/>
                <w:szCs w:val="19"/>
              </w:rPr>
              <w:t xml:space="preserve">Enabled only when Product Feature = Flexible Loan</w:t>
            </w:r>
          </w:p>
        </w:tc>
      </w:tr>
      <w:tr>
        <w:tc>
          <w:tcPr>
            <w:tcW w:type="dxa" w:w="2500"/>
            <w:shd w:fill="FFFFFF" w:val="clear"/>
            <w:tcMar>
              <w:top w:type="dxa" w:w="60"/>
              <w:left w:type="dxa" w:w="80"/>
              <w:bottom w:type="dxa" w:w="60"/>
              <w:right w:type="dxa" w:w="80"/>
            </w:tcMar>
          </w:tcPr>
          <w:p>
            <w:r>
              <w:rPr>
                <w:sz w:val="19"/>
                <w:szCs w:val="19"/>
              </w:rPr>
              <w:t xml:space="preserve">Repayment Amount</w:t>
            </w:r>
          </w:p>
        </w:tc>
        <w:tc>
          <w:tcPr>
            <w:tcW w:type="dxa" w:w="2300"/>
            <w:shd w:fill="FFFFFF" w:val="clear"/>
            <w:tcMar>
              <w:top w:type="dxa" w:w="60"/>
              <w:left w:type="dxa" w:w="80"/>
              <w:bottom w:type="dxa" w:w="60"/>
              <w:right w:type="dxa" w:w="80"/>
            </w:tcMar>
          </w:tcPr>
          <w:p>
            <w:r>
              <w:rPr>
                <w:sz w:val="19"/>
                <w:szCs w:val="19"/>
              </w:rPr>
              <w:t xml:space="preserve">Number</w:t>
            </w:r>
          </w:p>
        </w:tc>
        <w:tc>
          <w:tcPr>
            <w:tcW w:type="dxa" w:w="1600"/>
            <w:shd w:fill="FFFFFF" w:val="clear"/>
            <w:tcMar>
              <w:top w:type="dxa" w:w="60"/>
              <w:left w:type="dxa" w:w="80"/>
              <w:bottom w:type="dxa" w:w="60"/>
              <w:right w:type="dxa" w:w="80"/>
            </w:tcMar>
          </w:tcPr>
          <w:p>
            <w:r>
              <w:rPr>
                <w:sz w:val="19"/>
                <w:szCs w:val="19"/>
              </w:rPr>
              <w:t xml:space="preserve">Conditional</w:t>
            </w:r>
          </w:p>
        </w:tc>
        <w:tc>
          <w:tcPr>
            <w:tcW w:type="dxa" w:w="2600"/>
            <w:shd w:fill="FFFFFF" w:val="clear"/>
            <w:tcMar>
              <w:top w:type="dxa" w:w="60"/>
              <w:left w:type="dxa" w:w="80"/>
              <w:bottom w:type="dxa" w:w="60"/>
              <w:right w:type="dxa" w:w="80"/>
            </w:tcMar>
          </w:tcPr>
          <w:p>
            <w:r>
              <w:rPr>
                <w:sz w:val="19"/>
                <w:szCs w:val="19"/>
              </w:rPr>
              <w:t xml:space="preserve">Enabled only for P&amp;I Loan or Flexible Loan</w:t>
            </w:r>
          </w:p>
        </w:tc>
      </w:tr>
      <w:tr>
        <w:tc>
          <w:tcPr>
            <w:tcW w:type="dxa" w:w="2500"/>
            <w:shd w:fill="DCE6F1" w:val="clear"/>
            <w:tcMar>
              <w:top w:type="dxa" w:w="60"/>
              <w:left w:type="dxa" w:w="80"/>
              <w:bottom w:type="dxa" w:w="60"/>
              <w:right w:type="dxa" w:w="80"/>
            </w:tcMar>
          </w:tcPr>
          <w:p>
            <w:r>
              <w:rPr>
                <w:sz w:val="19"/>
                <w:szCs w:val="19"/>
              </w:rPr>
              <w:t xml:space="preserve">Repay Start Date</w:t>
            </w:r>
          </w:p>
        </w:tc>
        <w:tc>
          <w:tcPr>
            <w:tcW w:type="dxa" w:w="2300"/>
            <w:shd w:fill="DCE6F1" w:val="clear"/>
            <w:tcMar>
              <w:top w:type="dxa" w:w="60"/>
              <w:left w:type="dxa" w:w="80"/>
              <w:bottom w:type="dxa" w:w="60"/>
              <w:right w:type="dxa" w:w="80"/>
            </w:tcMar>
          </w:tcPr>
          <w:p>
            <w:r>
              <w:rPr>
                <w:sz w:val="19"/>
                <w:szCs w:val="19"/>
              </w:rPr>
              <w:t xml:space="preserve">Date</w:t>
            </w:r>
          </w:p>
        </w:tc>
        <w:tc>
          <w:tcPr>
            <w:tcW w:type="dxa" w:w="1600"/>
            <w:shd w:fill="DCE6F1" w:val="clear"/>
            <w:tcMar>
              <w:top w:type="dxa" w:w="60"/>
              <w:left w:type="dxa" w:w="80"/>
              <w:bottom w:type="dxa" w:w="60"/>
              <w:right w:type="dxa" w:w="80"/>
            </w:tcMar>
          </w:tcPr>
          <w:p>
            <w:r>
              <w:rPr>
                <w:sz w:val="19"/>
                <w:szCs w:val="19"/>
              </w:rPr>
              <w:t xml:space="preserve">Optional</w:t>
            </w:r>
          </w:p>
        </w:tc>
        <w:tc>
          <w:tcPr>
            <w:tcW w:type="dxa" w:w="2600"/>
            <w:shd w:fill="DCE6F1" w:val="clear"/>
            <w:tcMar>
              <w:top w:type="dxa" w:w="60"/>
              <w:left w:type="dxa" w:w="80"/>
              <w:bottom w:type="dxa" w:w="60"/>
              <w:right w:type="dxa" w:w="80"/>
            </w:tcMar>
          </w:tcPr>
          <w:p>
            <w:r>
              <w:rPr>
                <w:sz w:val="19"/>
                <w:szCs w:val="19"/>
              </w:rPr>
              <w:t xml:space="preserve">Defaults from system date + Repayment Frequency if blank</w:t>
            </w:r>
          </w:p>
        </w:tc>
      </w:tr>
      <w:tr>
        <w:tc>
          <w:tcPr>
            <w:tcW w:type="dxa" w:w="2500"/>
            <w:shd w:fill="FFFFFF" w:val="clear"/>
            <w:tcMar>
              <w:top w:type="dxa" w:w="60"/>
              <w:left w:type="dxa" w:w="80"/>
              <w:bottom w:type="dxa" w:w="60"/>
              <w:right w:type="dxa" w:w="80"/>
            </w:tcMar>
          </w:tcPr>
          <w:p>
            <w:r>
              <w:rPr>
                <w:sz w:val="19"/>
                <w:szCs w:val="19"/>
              </w:rPr>
              <w:t xml:space="preserve">Interest Repay Start Date</w:t>
            </w:r>
          </w:p>
        </w:tc>
        <w:tc>
          <w:tcPr>
            <w:tcW w:type="dxa" w:w="2300"/>
            <w:shd w:fill="FFFFFF" w:val="clear"/>
            <w:tcMar>
              <w:top w:type="dxa" w:w="60"/>
              <w:left w:type="dxa" w:w="80"/>
              <w:bottom w:type="dxa" w:w="60"/>
              <w:right w:type="dxa" w:w="80"/>
            </w:tcMar>
          </w:tcPr>
          <w:p>
            <w:r>
              <w:rPr>
                <w:sz w:val="19"/>
                <w:szCs w:val="19"/>
              </w:rPr>
              <w:t xml:space="preserve">Date</w:t>
            </w:r>
          </w:p>
        </w:tc>
        <w:tc>
          <w:tcPr>
            <w:tcW w:type="dxa" w:w="1600"/>
            <w:shd w:fill="FFFFFF" w:val="clear"/>
            <w:tcMar>
              <w:top w:type="dxa" w:w="60"/>
              <w:left w:type="dxa" w:w="80"/>
              <w:bottom w:type="dxa" w:w="60"/>
              <w:right w:type="dxa" w:w="80"/>
            </w:tcMar>
          </w:tcPr>
          <w:p>
            <w:r>
              <w:rPr>
                <w:sz w:val="19"/>
                <w:szCs w:val="19"/>
              </w:rPr>
              <w:t xml:space="preserve">Optional</w:t>
            </w:r>
          </w:p>
        </w:tc>
        <w:tc>
          <w:tcPr>
            <w:tcW w:type="dxa" w:w="2600"/>
            <w:shd w:fill="FFFFFF" w:val="clear"/>
            <w:tcMar>
              <w:top w:type="dxa" w:w="60"/>
              <w:left w:type="dxa" w:w="80"/>
              <w:bottom w:type="dxa" w:w="60"/>
              <w:right w:type="dxa" w:w="80"/>
            </w:tcMar>
          </w:tcPr>
          <w:p>
            <w:r>
              <w:rPr>
                <w:sz w:val="19"/>
                <w:szCs w:val="19"/>
              </w:rPr>
              <w:t xml:space="preserve">Defaults from system date + Interest Repay Frequency if blank</w:t>
            </w:r>
          </w:p>
        </w:tc>
      </w:tr>
      <w:tr>
        <w:tc>
          <w:tcPr>
            <w:tcW w:type="dxa" w:w="2500"/>
            <w:shd w:fill="DCE6F1" w:val="clear"/>
            <w:tcMar>
              <w:top w:type="dxa" w:w="60"/>
              <w:left w:type="dxa" w:w="80"/>
              <w:bottom w:type="dxa" w:w="60"/>
              <w:right w:type="dxa" w:w="80"/>
            </w:tcMar>
          </w:tcPr>
          <w:p>
            <w:r>
              <w:rPr>
                <w:sz w:val="19"/>
                <w:szCs w:val="19"/>
              </w:rPr>
              <w:t xml:space="preserve">Disbursement Date</w:t>
            </w:r>
          </w:p>
        </w:tc>
        <w:tc>
          <w:tcPr>
            <w:tcW w:type="dxa" w:w="2300"/>
            <w:shd w:fill="DCE6F1" w:val="clear"/>
            <w:tcMar>
              <w:top w:type="dxa" w:w="60"/>
              <w:left w:type="dxa" w:w="80"/>
              <w:bottom w:type="dxa" w:w="60"/>
              <w:right w:type="dxa" w:w="80"/>
            </w:tcMar>
          </w:tcPr>
          <w:p>
            <w:r>
              <w:rPr>
                <w:sz w:val="19"/>
                <w:szCs w:val="19"/>
              </w:rPr>
              <w:t xml:space="preserve">Date</w:t>
            </w:r>
          </w:p>
        </w:tc>
        <w:tc>
          <w:tcPr>
            <w:tcW w:type="dxa" w:w="1600"/>
            <w:shd w:fill="DCE6F1" w:val="clear"/>
            <w:tcMar>
              <w:top w:type="dxa" w:w="60"/>
              <w:left w:type="dxa" w:w="80"/>
              <w:bottom w:type="dxa" w:w="60"/>
              <w:right w:type="dxa" w:w="80"/>
            </w:tcMar>
          </w:tcPr>
          <w:p>
            <w:r>
              <w:rPr>
                <w:sz w:val="19"/>
                <w:szCs w:val="19"/>
              </w:rPr>
              <w:t xml:space="preserve">Optional</w:t>
            </w:r>
          </w:p>
        </w:tc>
        <w:tc>
          <w:tcPr>
            <w:tcW w:type="dxa" w:w="2600"/>
            <w:shd w:fill="DCE6F1" w:val="clear"/>
            <w:tcMar>
              <w:top w:type="dxa" w:w="60"/>
              <w:left w:type="dxa" w:w="80"/>
              <w:bottom w:type="dxa" w:w="60"/>
              <w:right w:type="dxa" w:w="80"/>
            </w:tcMar>
          </w:tcPr>
          <w:p>
            <w:r>
              <w:rPr>
                <w:sz w:val="19"/>
                <w:szCs w:val="19"/>
              </w:rPr>
              <w:t xml:space="preserve">Defaults to current business date if blank; interest accrues from this date</w:t>
            </w:r>
          </w:p>
        </w:tc>
      </w:tr>
      <w:tr>
        <w:tc>
          <w:tcPr>
            <w:tcW w:type="dxa" w:w="2500"/>
            <w:shd w:fill="FFFFFF" w:val="clear"/>
            <w:tcMar>
              <w:top w:type="dxa" w:w="60"/>
              <w:left w:type="dxa" w:w="80"/>
              <w:bottom w:type="dxa" w:w="60"/>
              <w:right w:type="dxa" w:w="80"/>
            </w:tcMar>
          </w:tcPr>
          <w:p>
            <w:r>
              <w:rPr>
                <w:sz w:val="19"/>
                <w:szCs w:val="19"/>
              </w:rPr>
              <w:t xml:space="preserve">Fixed Frequency Interest Repayment</w:t>
            </w:r>
          </w:p>
        </w:tc>
        <w:tc>
          <w:tcPr>
            <w:tcW w:type="dxa" w:w="2300"/>
            <w:shd w:fill="FFFFFF" w:val="clear"/>
            <w:tcMar>
              <w:top w:type="dxa" w:w="60"/>
              <w:left w:type="dxa" w:w="80"/>
              <w:bottom w:type="dxa" w:w="60"/>
              <w:right w:type="dxa" w:w="80"/>
            </w:tcMar>
          </w:tcPr>
          <w:p>
            <w:r>
              <w:rPr>
                <w:sz w:val="19"/>
                <w:szCs w:val="19"/>
              </w:rPr>
              <w:t xml:space="preserve">Dropdown (Calendar/Anniversary)</w:t>
            </w:r>
          </w:p>
        </w:tc>
        <w:tc>
          <w:tcPr>
            <w:tcW w:type="dxa" w:w="1600"/>
            <w:shd w:fill="FFFFFF" w:val="clear"/>
            <w:tcMar>
              <w:top w:type="dxa" w:w="60"/>
              <w:left w:type="dxa" w:w="80"/>
              <w:bottom w:type="dxa" w:w="60"/>
              <w:right w:type="dxa" w:w="80"/>
            </w:tcMar>
          </w:tcPr>
          <w:p>
            <w:r>
              <w:rPr>
                <w:sz w:val="19"/>
                <w:szCs w:val="19"/>
              </w:rPr>
              <w:t xml:space="preserve">Optional</w:t>
            </w:r>
          </w:p>
        </w:tc>
        <w:tc>
          <w:tcPr>
            <w:tcW w:type="dxa" w:w="2600"/>
            <w:shd w:fill="FFFFFF" w:val="clear"/>
            <w:tcMar>
              <w:top w:type="dxa" w:w="60"/>
              <w:left w:type="dxa" w:w="80"/>
              <w:bottom w:type="dxa" w:w="60"/>
              <w:right w:type="dxa" w:w="80"/>
            </w:tcMar>
          </w:tcPr>
          <w:p>
            <w:r>
              <w:rPr>
                <w:sz w:val="19"/>
                <w:szCs w:val="19"/>
              </w:rPr>
              <w:t xml:space="preserve">Blank for P&amp;I Loan; defaults to Calendar for other types</w:t>
            </w:r>
          </w:p>
        </w:tc>
      </w:tr>
    </w:tbl>
    <w:p>
      <w:pPr>
        <w:pStyle w:val="Heading1"/>
        <w:pageBreakBefore/>
        <w:spacing w:after="200" w:before="400"/>
      </w:pPr>
      <w:r>
        <w:rPr>
          <w:b/>
          <w:bCs/>
          <w:color w:val="1F3864"/>
          <w:sz w:val="32"/>
          <w:szCs w:val="32"/>
        </w:rPr>
        <w:t xml:space="preserve">14. Record Versioning Pattern (Maintain / Amend / Remove)</w:t>
      </w:r>
    </w:p>
    <w:p>
      <w:pPr>
        <w:spacing w:after="160"/>
      </w:pPr>
      <w:r>
        <w:rPr>
          <w:sz w:val="21"/>
          <w:szCs w:val="21"/>
        </w:rPr>
        <w:t xml:space="preserve">A reusable audit-trail pattern found in the reference engagement's Guarantor and Covenant handling, worth adopting as a platform-wide standard for any record that can be changed after creation:</w:t>
      </w:r>
    </w:p>
    <w:p>
      <w:pPr>
        <w:pStyle w:val="ListParagraph"/>
        <w:numPr>
          <w:ilvl w:val="0"/>
          <w:numId w:val="2"/>
        </w:numPr>
        <w:spacing w:after="80"/>
      </w:pPr>
      <w:r>
        <w:rPr>
          <w:sz w:val="21"/>
          <w:szCs w:val="21"/>
        </w:rPr>
        <w:t xml:space="preserve">Every editable record (guarantor, covenant, condition, collateral item) carries an explicit Action field with values Maintain / Amend / Remove.</w:t>
      </w:r>
    </w:p>
    <w:p>
      <w:pPr>
        <w:pStyle w:val="ListParagraph"/>
        <w:numPr>
          <w:ilvl w:val="0"/>
          <w:numId w:val="2"/>
        </w:numPr>
        <w:spacing w:after="80"/>
      </w:pPr>
      <w:r>
        <w:rPr>
          <w:sz w:val="21"/>
          <w:szCs w:val="21"/>
        </w:rPr>
        <w:t xml:space="preserve">Maintain: no change; the comments field remains open for notes.</w:t>
      </w:r>
    </w:p>
    <w:p>
      <w:pPr>
        <w:pStyle w:val="ListParagraph"/>
        <w:numPr>
          <w:ilvl w:val="0"/>
          <w:numId w:val="2"/>
        </w:numPr>
        <w:spacing w:after="80"/>
      </w:pPr>
      <w:r>
        <w:rPr>
          <w:sz w:val="21"/>
          <w:szCs w:val="21"/>
        </w:rPr>
        <w:t xml:space="preserve">Amend: the system creates a duplicate of the original record and routes edits to the duplicate, leaving the original intact as a historical version.</w:t>
      </w:r>
    </w:p>
    <w:p>
      <w:pPr>
        <w:pStyle w:val="ListParagraph"/>
        <w:numPr>
          <w:ilvl w:val="0"/>
          <w:numId w:val="2"/>
        </w:numPr>
        <w:spacing w:after="80"/>
      </w:pPr>
      <w:r>
        <w:rPr>
          <w:sz w:val="21"/>
          <w:szCs w:val="21"/>
        </w:rPr>
        <w:t xml:space="preserve">Remove: the original record is flagged for removal (not hard-deleted); the comments field stays open for the removal justification.</w:t>
      </w:r>
    </w:p>
    <w:p>
      <w:pPr>
        <w:spacing w:after="160"/>
        <w:ind w:left="360"/>
      </w:pPr>
      <w:r>
        <w:rPr>
          <w:i/>
          <w:iCs/>
          <w:color w:val="595959"/>
          <w:sz w:val="20"/>
          <w:szCs w:val="20"/>
        </w:rPr>
        <w:t xml:space="preserve">This pattern gives a clean, queryable history of every change to a record without needing a separate audit-log table for these specific entities — the version chain is the audit trail.</w:t>
      </w:r>
    </w:p>
    <w:p>
      <w:pPr>
        <w:pStyle w:val="Heading1"/>
        <w:pageBreakBefore/>
        <w:spacing w:after="200" w:before="400"/>
      </w:pPr>
      <w:r>
        <w:rPr>
          <w:b/>
          <w:bCs/>
          <w:color w:val="1F3864"/>
          <w:sz w:val="32"/>
          <w:szCs w:val="32"/>
        </w:rPr>
        <w:t xml:space="preserve">15. Task Worklist &amp; Reassignment Widget</w:t>
      </w:r>
    </w:p>
    <w:p>
      <w:pPr>
        <w:spacing w:after="160"/>
      </w:pPr>
      <w:r>
        <w:rPr>
          <w:sz w:val="21"/>
          <w:szCs w:val="21"/>
        </w:rPr>
        <w:t xml:space="preserve">A fully-specified, reusable dashboard widget from the reference engagement, generalized here: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200"/>
      </w:tblGrid>
      <w:tr>
        <w:trPr>
          <w:tblHeader/>
        </w:trPr>
        <w:tc>
          <w:tcPr>
            <w:tcW w:type="dxa" w:w="2800"/>
            <w:shd w:fill="1F3864" w:val="clear"/>
            <w:tcMar>
              <w:top w:type="dxa" w:w="60"/>
              <w:left w:type="dxa" w:w="80"/>
              <w:bottom w:type="dxa" w:w="60"/>
              <w:right w:type="dxa" w:w="80"/>
            </w:tcMar>
          </w:tcPr>
          <w:p>
            <w:r>
              <w:rPr>
                <w:b/>
                <w:bCs/>
                <w:color w:val="FFFFFF"/>
                <w:sz w:val="19"/>
                <w:szCs w:val="19"/>
              </w:rPr>
              <w:t xml:space="preserve">Field</w:t>
            </w:r>
          </w:p>
        </w:tc>
        <w:tc>
          <w:tcPr>
            <w:tcW w:type="dxa" w:w="2000"/>
            <w:shd w:fill="1F3864" w:val="clear"/>
            <w:tcMar>
              <w:top w:type="dxa" w:w="60"/>
              <w:left w:type="dxa" w:w="80"/>
              <w:bottom w:type="dxa" w:w="60"/>
              <w:right w:type="dxa" w:w="80"/>
            </w:tcMar>
          </w:tcPr>
          <w:p>
            <w:r>
              <w:rPr>
                <w:b/>
                <w:bCs/>
                <w:color w:val="FFFFFF"/>
                <w:sz w:val="19"/>
                <w:szCs w:val="19"/>
              </w:rPr>
              <w:t xml:space="preserve">Attribute</w:t>
            </w:r>
          </w:p>
        </w:tc>
        <w:tc>
          <w:tcPr>
            <w:tcW w:type="dxa" w:w="4200"/>
            <w:shd w:fill="1F3864" w:val="clear"/>
            <w:tcMar>
              <w:top w:type="dxa" w:w="60"/>
              <w:left w:type="dxa" w:w="80"/>
              <w:bottom w:type="dxa" w:w="60"/>
              <w:right w:type="dxa" w:w="80"/>
            </w:tcMar>
          </w:tcPr>
          <w:p>
            <w:r>
              <w:rPr>
                <w:b/>
                <w:bCs/>
                <w:color w:val="FFFFFF"/>
                <w:sz w:val="19"/>
                <w:szCs w:val="19"/>
              </w:rPr>
              <w:t xml:space="preserve">Notes</w:t>
            </w:r>
          </w:p>
        </w:tc>
      </w:tr>
      <w:tr>
        <w:tc>
          <w:tcPr>
            <w:tcW w:type="dxa" w:w="2800"/>
            <w:shd w:fill="FFFFFF" w:val="clear"/>
            <w:tcMar>
              <w:top w:type="dxa" w:w="60"/>
              <w:left w:type="dxa" w:w="80"/>
              <w:bottom w:type="dxa" w:w="60"/>
              <w:right w:type="dxa" w:w="80"/>
            </w:tcMar>
          </w:tcPr>
          <w:p>
            <w:r>
              <w:rPr>
                <w:sz w:val="19"/>
                <w:szCs w:val="19"/>
              </w:rPr>
              <w:t xml:space="preserve">Serial Number</w:t>
            </w:r>
          </w:p>
        </w:tc>
        <w:tc>
          <w:tcPr>
            <w:tcW w:type="dxa" w:w="2000"/>
            <w:shd w:fill="FFFFFF" w:val="clear"/>
            <w:tcMar>
              <w:top w:type="dxa" w:w="60"/>
              <w:left w:type="dxa" w:w="80"/>
              <w:bottom w:type="dxa" w:w="60"/>
              <w:right w:type="dxa" w:w="80"/>
            </w:tcMar>
          </w:tcPr>
          <w:p>
            <w:r>
              <w:rPr>
                <w:sz w:val="19"/>
                <w:szCs w:val="19"/>
              </w:rPr>
              <w:t xml:space="preserve">Numeric</w:t>
            </w:r>
          </w:p>
        </w:tc>
        <w:tc>
          <w:tcPr>
            <w:tcW w:type="dxa" w:w="4200"/>
            <w:shd w:fill="FFFFFF" w:val="clear"/>
            <w:tcMar>
              <w:top w:type="dxa" w:w="60"/>
              <w:left w:type="dxa" w:w="80"/>
              <w:bottom w:type="dxa" w:w="60"/>
              <w:right w:type="dxa" w:w="80"/>
            </w:tcMar>
          </w:tcPr>
          <w:p>
            <w:r>
              <w:rPr>
                <w:sz w:val="19"/>
                <w:szCs w:val="19"/>
              </w:rPr>
              <w:t xml:space="preserve">Running serial</w:t>
            </w:r>
          </w:p>
        </w:tc>
      </w:tr>
      <w:tr>
        <w:tc>
          <w:tcPr>
            <w:tcW w:type="dxa" w:w="2800"/>
            <w:shd w:fill="DCE6F1" w:val="clear"/>
            <w:tcMar>
              <w:top w:type="dxa" w:w="60"/>
              <w:left w:type="dxa" w:w="80"/>
              <w:bottom w:type="dxa" w:w="60"/>
              <w:right w:type="dxa" w:w="80"/>
            </w:tcMar>
          </w:tcPr>
          <w:p>
            <w:r>
              <w:rPr>
                <w:sz w:val="19"/>
                <w:szCs w:val="19"/>
              </w:rPr>
              <w:t xml:space="preserve">Request Number</w:t>
            </w:r>
          </w:p>
        </w:tc>
        <w:tc>
          <w:tcPr>
            <w:tcW w:type="dxa" w:w="2000"/>
            <w:shd w:fill="DCE6F1" w:val="clear"/>
            <w:tcMar>
              <w:top w:type="dxa" w:w="60"/>
              <w:left w:type="dxa" w:w="80"/>
              <w:bottom w:type="dxa" w:w="60"/>
              <w:right w:type="dxa" w:w="80"/>
            </w:tcMar>
          </w:tcPr>
          <w:p>
            <w:r>
              <w:rPr>
                <w:sz w:val="19"/>
                <w:szCs w:val="19"/>
              </w:rPr>
              <w:t xml:space="preserve">Numeric</w:t>
            </w:r>
          </w:p>
        </w:tc>
        <w:tc>
          <w:tcPr>
            <w:tcW w:type="dxa" w:w="4200"/>
            <w:shd w:fill="DCE6F1" w:val="clear"/>
            <w:tcMar>
              <w:top w:type="dxa" w:w="60"/>
              <w:left w:type="dxa" w:w="80"/>
              <w:bottom w:type="dxa" w:w="60"/>
              <w:right w:type="dxa" w:w="80"/>
            </w:tcMar>
          </w:tcPr>
          <w:p>
            <w:r>
              <w:rPr>
                <w:sz w:val="19"/>
                <w:szCs w:val="19"/>
              </w:rPr>
              <w:t xml:space="preserve">Unique identifier</w:t>
            </w:r>
          </w:p>
        </w:tc>
      </w:tr>
      <w:tr>
        <w:tc>
          <w:tcPr>
            <w:tcW w:type="dxa" w:w="2800"/>
            <w:shd w:fill="FFFFFF" w:val="clear"/>
            <w:tcMar>
              <w:top w:type="dxa" w:w="60"/>
              <w:left w:type="dxa" w:w="80"/>
              <w:bottom w:type="dxa" w:w="60"/>
              <w:right w:type="dxa" w:w="80"/>
            </w:tcMar>
          </w:tcPr>
          <w:p>
            <w:r>
              <w:rPr>
                <w:sz w:val="19"/>
                <w:szCs w:val="19"/>
              </w:rPr>
              <w:t xml:space="preserve">Status</w:t>
            </w:r>
          </w:p>
        </w:tc>
        <w:tc>
          <w:tcPr>
            <w:tcW w:type="dxa" w:w="2000"/>
            <w:shd w:fill="FFFFFF" w:val="clear"/>
            <w:tcMar>
              <w:top w:type="dxa" w:w="60"/>
              <w:left w:type="dxa" w:w="80"/>
              <w:bottom w:type="dxa" w:w="60"/>
              <w:right w:type="dxa" w:w="80"/>
            </w:tcMar>
          </w:tcPr>
          <w:p>
            <w:r>
              <w:rPr>
                <w:sz w:val="19"/>
                <w:szCs w:val="19"/>
              </w:rPr>
              <w:t xml:space="preserve">Text</w:t>
            </w:r>
          </w:p>
        </w:tc>
        <w:tc>
          <w:tcPr>
            <w:tcW w:type="dxa" w:w="4200"/>
            <w:shd w:fill="FFFFFF" w:val="clear"/>
            <w:tcMar>
              <w:top w:type="dxa" w:w="60"/>
              <w:left w:type="dxa" w:w="80"/>
              <w:bottom w:type="dxa" w:w="60"/>
              <w:right w:type="dxa" w:w="80"/>
            </w:tcMar>
          </w:tcPr>
          <w:p>
            <w:r>
              <w:rPr>
                <w:sz w:val="19"/>
                <w:szCs w:val="19"/>
              </w:rPr>
              <w:t xml:space="preserve">Current workflow status</w:t>
            </w:r>
          </w:p>
        </w:tc>
      </w:tr>
      <w:tr>
        <w:tc>
          <w:tcPr>
            <w:tcW w:type="dxa" w:w="2800"/>
            <w:shd w:fill="DCE6F1" w:val="clear"/>
            <w:tcMar>
              <w:top w:type="dxa" w:w="60"/>
              <w:left w:type="dxa" w:w="80"/>
              <w:bottom w:type="dxa" w:w="60"/>
              <w:right w:type="dxa" w:w="80"/>
            </w:tcMar>
          </w:tcPr>
          <w:p>
            <w:r>
              <w:rPr>
                <w:sz w:val="19"/>
                <w:szCs w:val="19"/>
              </w:rPr>
              <w:t xml:space="preserve">Assigned To</w:t>
            </w:r>
          </w:p>
        </w:tc>
        <w:tc>
          <w:tcPr>
            <w:tcW w:type="dxa" w:w="2000"/>
            <w:shd w:fill="DCE6F1" w:val="clear"/>
            <w:tcMar>
              <w:top w:type="dxa" w:w="60"/>
              <w:left w:type="dxa" w:w="80"/>
              <w:bottom w:type="dxa" w:w="60"/>
              <w:right w:type="dxa" w:w="80"/>
            </w:tcMar>
          </w:tcPr>
          <w:p>
            <w:r>
              <w:rPr>
                <w:sz w:val="19"/>
                <w:szCs w:val="19"/>
              </w:rPr>
              <w:t xml:space="preserve">Text</w:t>
            </w:r>
          </w:p>
        </w:tc>
        <w:tc>
          <w:tcPr>
            <w:tcW w:type="dxa" w:w="4200"/>
            <w:shd w:fill="DCE6F1" w:val="clear"/>
            <w:tcMar>
              <w:top w:type="dxa" w:w="60"/>
              <w:left w:type="dxa" w:w="80"/>
              <w:bottom w:type="dxa" w:w="60"/>
              <w:right w:type="dxa" w:w="80"/>
            </w:tcMar>
          </w:tcPr>
          <w:p>
            <w:r>
              <w:rPr>
                <w:sz w:val="19"/>
                <w:szCs w:val="19"/>
              </w:rPr>
              <w:t xml:space="preserve">Current owner</w:t>
            </w:r>
          </w:p>
        </w:tc>
      </w:tr>
      <w:tr>
        <w:tc>
          <w:tcPr>
            <w:tcW w:type="dxa" w:w="2800"/>
            <w:shd w:fill="FFFFFF" w:val="clear"/>
            <w:tcMar>
              <w:top w:type="dxa" w:w="60"/>
              <w:left w:type="dxa" w:w="80"/>
              <w:bottom w:type="dxa" w:w="60"/>
              <w:right w:type="dxa" w:w="80"/>
            </w:tcMar>
          </w:tcPr>
          <w:p>
            <w:r>
              <w:rPr>
                <w:sz w:val="19"/>
                <w:szCs w:val="19"/>
              </w:rPr>
              <w:t xml:space="preserve">Pin Indicator</w:t>
            </w:r>
          </w:p>
        </w:tc>
        <w:tc>
          <w:tcPr>
            <w:tcW w:type="dxa" w:w="2000"/>
            <w:shd w:fill="FFFFFF" w:val="clear"/>
            <w:tcMar>
              <w:top w:type="dxa" w:w="60"/>
              <w:left w:type="dxa" w:w="80"/>
              <w:bottom w:type="dxa" w:w="60"/>
              <w:right w:type="dxa" w:w="80"/>
            </w:tcMar>
          </w:tcPr>
          <w:p>
            <w:r>
              <w:rPr>
                <w:sz w:val="19"/>
                <w:szCs w:val="19"/>
              </w:rPr>
              <w:t xml:space="preserve">Boolean</w:t>
            </w:r>
          </w:p>
        </w:tc>
        <w:tc>
          <w:tcPr>
            <w:tcW w:type="dxa" w:w="4200"/>
            <w:shd w:fill="FFFFFF" w:val="clear"/>
            <w:tcMar>
              <w:top w:type="dxa" w:w="60"/>
              <w:left w:type="dxa" w:w="80"/>
              <w:bottom w:type="dxa" w:w="60"/>
              <w:right w:type="dxa" w:w="80"/>
            </w:tcMar>
          </w:tcPr>
          <w:p>
            <w:r>
              <w:rPr>
                <w:sz w:val="19"/>
                <w:szCs w:val="19"/>
              </w:rPr>
              <w:t xml:space="preserve">User can pin up to a configurable cap (reference used 15); pinned records stay visible across searches</w:t>
            </w:r>
          </w:p>
        </w:tc>
      </w:tr>
      <w:tr>
        <w:tc>
          <w:tcPr>
            <w:tcW w:type="dxa" w:w="2800"/>
            <w:shd w:fill="DCE6F1" w:val="clear"/>
            <w:tcMar>
              <w:top w:type="dxa" w:w="60"/>
              <w:left w:type="dxa" w:w="80"/>
              <w:bottom w:type="dxa" w:w="60"/>
              <w:right w:type="dxa" w:w="80"/>
            </w:tcMar>
          </w:tcPr>
          <w:p>
            <w:r>
              <w:rPr>
                <w:sz w:val="19"/>
                <w:szCs w:val="19"/>
              </w:rPr>
              <w:t xml:space="preserve">Type</w:t>
            </w:r>
          </w:p>
        </w:tc>
        <w:tc>
          <w:tcPr>
            <w:tcW w:type="dxa" w:w="2000"/>
            <w:shd w:fill="DCE6F1" w:val="clear"/>
            <w:tcMar>
              <w:top w:type="dxa" w:w="60"/>
              <w:left w:type="dxa" w:w="80"/>
              <w:bottom w:type="dxa" w:w="60"/>
              <w:right w:type="dxa" w:w="80"/>
            </w:tcMar>
          </w:tcPr>
          <w:p>
            <w:r>
              <w:rPr>
                <w:sz w:val="19"/>
                <w:szCs w:val="19"/>
              </w:rPr>
              <w:t xml:space="preserve">Text</w:t>
            </w:r>
          </w:p>
        </w:tc>
        <w:tc>
          <w:tcPr>
            <w:tcW w:type="dxa" w:w="4200"/>
            <w:shd w:fill="DCE6F1" w:val="clear"/>
            <w:tcMar>
              <w:top w:type="dxa" w:w="60"/>
              <w:left w:type="dxa" w:w="80"/>
              <w:bottom w:type="dxa" w:w="60"/>
              <w:right w:type="dxa" w:w="80"/>
            </w:tcMar>
          </w:tcPr>
          <w:p>
            <w:r>
              <w:rPr>
                <w:sz w:val="19"/>
                <w:szCs w:val="19"/>
              </w:rPr>
              <w:t xml:space="preserve">Request category (e.g., full request vs. quick-approval variant)</w:t>
            </w:r>
          </w:p>
        </w:tc>
      </w:tr>
      <w:tr>
        <w:tc>
          <w:tcPr>
            <w:tcW w:type="dxa" w:w="2800"/>
            <w:shd w:fill="FFFFFF" w:val="clear"/>
            <w:tcMar>
              <w:top w:type="dxa" w:w="60"/>
              <w:left w:type="dxa" w:w="80"/>
              <w:bottom w:type="dxa" w:w="60"/>
              <w:right w:type="dxa" w:w="80"/>
            </w:tcMar>
          </w:tcPr>
          <w:p>
            <w:r>
              <w:rPr>
                <w:sz w:val="19"/>
                <w:szCs w:val="19"/>
              </w:rPr>
              <w:t xml:space="preserve">Create Date</w:t>
            </w:r>
          </w:p>
        </w:tc>
        <w:tc>
          <w:tcPr>
            <w:tcW w:type="dxa" w:w="2000"/>
            <w:shd w:fill="FFFFFF" w:val="clear"/>
            <w:tcMar>
              <w:top w:type="dxa" w:w="60"/>
              <w:left w:type="dxa" w:w="80"/>
              <w:bottom w:type="dxa" w:w="60"/>
              <w:right w:type="dxa" w:w="80"/>
            </w:tcMar>
          </w:tcPr>
          <w:p>
            <w:r>
              <w:rPr>
                <w:sz w:val="19"/>
                <w:szCs w:val="19"/>
              </w:rPr>
              <w:t xml:space="preserve">Date</w:t>
            </w:r>
          </w:p>
        </w:tc>
        <w:tc>
          <w:tcPr>
            <w:tcW w:type="dxa" w:w="4200"/>
            <w:shd w:fill="FFFFFF" w:val="clear"/>
            <w:tcMar>
              <w:top w:type="dxa" w:w="60"/>
              <w:left w:type="dxa" w:w="80"/>
              <w:bottom w:type="dxa" w:w="60"/>
              <w:right w:type="dxa" w:w="80"/>
            </w:tcMar>
          </w:tcPr>
          <w:p>
            <w:r>
              <w:rPr>
                <w:sz w:val="19"/>
                <w:szCs w:val="19"/>
              </w:rPr>
              <w:t xml:space="preserve">—</w:t>
            </w:r>
          </w:p>
        </w:tc>
      </w:tr>
      <w:tr>
        <w:tc>
          <w:tcPr>
            <w:tcW w:type="dxa" w:w="2800"/>
            <w:shd w:fill="DCE6F1" w:val="clear"/>
            <w:tcMar>
              <w:top w:type="dxa" w:w="60"/>
              <w:left w:type="dxa" w:w="80"/>
              <w:bottom w:type="dxa" w:w="60"/>
              <w:right w:type="dxa" w:w="80"/>
            </w:tcMar>
          </w:tcPr>
          <w:p>
            <w:r>
              <w:rPr>
                <w:sz w:val="19"/>
                <w:szCs w:val="19"/>
              </w:rPr>
              <w:t xml:space="preserve">Customer Number / Name</w:t>
            </w:r>
          </w:p>
        </w:tc>
        <w:tc>
          <w:tcPr>
            <w:tcW w:type="dxa" w:w="2000"/>
            <w:shd w:fill="DCE6F1" w:val="clear"/>
            <w:tcMar>
              <w:top w:type="dxa" w:w="60"/>
              <w:left w:type="dxa" w:w="80"/>
              <w:bottom w:type="dxa" w:w="60"/>
              <w:right w:type="dxa" w:w="80"/>
            </w:tcMar>
          </w:tcPr>
          <w:p>
            <w:r>
              <w:rPr>
                <w:sz w:val="19"/>
                <w:szCs w:val="19"/>
              </w:rPr>
              <w:t xml:space="preserve">Text</w:t>
            </w:r>
          </w:p>
        </w:tc>
        <w:tc>
          <w:tcPr>
            <w:tcW w:type="dxa" w:w="4200"/>
            <w:shd w:fill="DCE6F1" w:val="clear"/>
            <w:tcMar>
              <w:top w:type="dxa" w:w="60"/>
              <w:left w:type="dxa" w:w="80"/>
              <w:bottom w:type="dxa" w:w="60"/>
              <w:right w:type="dxa" w:w="80"/>
            </w:tcMar>
          </w:tcPr>
          <w:p>
            <w:r>
              <w:rPr>
                <w:sz w:val="19"/>
                <w:szCs w:val="19"/>
              </w:rPr>
              <w:t xml:space="preserve">—</w:t>
            </w:r>
          </w:p>
        </w:tc>
      </w:tr>
      <w:tr>
        <w:tc>
          <w:tcPr>
            <w:tcW w:type="dxa" w:w="2800"/>
            <w:shd w:fill="FFFFFF" w:val="clear"/>
            <w:tcMar>
              <w:top w:type="dxa" w:w="60"/>
              <w:left w:type="dxa" w:w="80"/>
              <w:bottom w:type="dxa" w:w="60"/>
              <w:right w:type="dxa" w:w="80"/>
            </w:tcMar>
          </w:tcPr>
          <w:p>
            <w:r>
              <w:rPr>
                <w:sz w:val="19"/>
                <w:szCs w:val="19"/>
              </w:rPr>
              <w:t xml:space="preserve">Created By (Name &amp; User ID)</w:t>
            </w:r>
          </w:p>
        </w:tc>
        <w:tc>
          <w:tcPr>
            <w:tcW w:type="dxa" w:w="2000"/>
            <w:shd w:fill="FFFFFF" w:val="clear"/>
            <w:tcMar>
              <w:top w:type="dxa" w:w="60"/>
              <w:left w:type="dxa" w:w="80"/>
              <w:bottom w:type="dxa" w:w="60"/>
              <w:right w:type="dxa" w:w="80"/>
            </w:tcMar>
          </w:tcPr>
          <w:p>
            <w:r>
              <w:rPr>
                <w:sz w:val="19"/>
                <w:szCs w:val="19"/>
              </w:rPr>
              <w:t xml:space="preserve">Text</w:t>
            </w:r>
          </w:p>
        </w:tc>
        <w:tc>
          <w:tcPr>
            <w:tcW w:type="dxa" w:w="4200"/>
            <w:shd w:fill="FFFFFF" w:val="clear"/>
            <w:tcMar>
              <w:top w:type="dxa" w:w="60"/>
              <w:left w:type="dxa" w:w="80"/>
              <w:bottom w:type="dxa" w:w="60"/>
              <w:right w:type="dxa" w:w="80"/>
            </w:tcMar>
          </w:tcPr>
          <w:p>
            <w:r>
              <w:rPr>
                <w:sz w:val="19"/>
                <w:szCs w:val="19"/>
              </w:rPr>
              <w:t xml:space="preserve">—</w:t>
            </w:r>
          </w:p>
        </w:tc>
      </w:tr>
      <w:tr>
        <w:tc>
          <w:tcPr>
            <w:tcW w:type="dxa" w:w="2800"/>
            <w:shd w:fill="DCE6F1" w:val="clear"/>
            <w:tcMar>
              <w:top w:type="dxa" w:w="60"/>
              <w:left w:type="dxa" w:w="80"/>
              <w:bottom w:type="dxa" w:w="60"/>
              <w:right w:type="dxa" w:w="80"/>
            </w:tcMar>
          </w:tcPr>
          <w:p>
            <w:r>
              <w:rPr>
                <w:sz w:val="19"/>
                <w:szCs w:val="19"/>
              </w:rPr>
              <w:t xml:space="preserve">Current Owner (Name &amp; User ID)</w:t>
            </w:r>
          </w:p>
        </w:tc>
        <w:tc>
          <w:tcPr>
            <w:tcW w:type="dxa" w:w="2000"/>
            <w:shd w:fill="DCE6F1" w:val="clear"/>
            <w:tcMar>
              <w:top w:type="dxa" w:w="60"/>
              <w:left w:type="dxa" w:w="80"/>
              <w:bottom w:type="dxa" w:w="60"/>
              <w:right w:type="dxa" w:w="80"/>
            </w:tcMar>
          </w:tcPr>
          <w:p>
            <w:r>
              <w:rPr>
                <w:sz w:val="19"/>
                <w:szCs w:val="19"/>
              </w:rPr>
              <w:t xml:space="preserve">Text</w:t>
            </w:r>
          </w:p>
        </w:tc>
        <w:tc>
          <w:tcPr>
            <w:tcW w:type="dxa" w:w="4200"/>
            <w:shd w:fill="DCE6F1" w:val="clear"/>
            <w:tcMar>
              <w:top w:type="dxa" w:w="60"/>
              <w:left w:type="dxa" w:w="80"/>
              <w:bottom w:type="dxa" w:w="60"/>
              <w:right w:type="dxa" w:w="80"/>
            </w:tcMar>
          </w:tcPr>
          <w:p>
            <w:r>
              <w:rPr>
                <w:sz w:val="19"/>
                <w:szCs w:val="19"/>
              </w:rPr>
              <w:t xml:space="preserve">Defaults to Created By; updates on reassignment</w:t>
            </w:r>
          </w:p>
        </w:tc>
      </w:tr>
      <w:tr>
        <w:tc>
          <w:tcPr>
            <w:tcW w:type="dxa" w:w="2800"/>
            <w:shd w:fill="FFFFFF" w:val="clear"/>
            <w:tcMar>
              <w:top w:type="dxa" w:w="60"/>
              <w:left w:type="dxa" w:w="80"/>
              <w:bottom w:type="dxa" w:w="60"/>
              <w:right w:type="dxa" w:w="80"/>
            </w:tcMar>
          </w:tcPr>
          <w:p>
            <w:r>
              <w:rPr>
                <w:sz w:val="19"/>
                <w:szCs w:val="19"/>
              </w:rPr>
              <w:t xml:space="preserve">Committee/Approval Level</w:t>
            </w:r>
          </w:p>
        </w:tc>
        <w:tc>
          <w:tcPr>
            <w:tcW w:type="dxa" w:w="2000"/>
            <w:shd w:fill="FFFFFF" w:val="clear"/>
            <w:tcMar>
              <w:top w:type="dxa" w:w="60"/>
              <w:left w:type="dxa" w:w="80"/>
              <w:bottom w:type="dxa" w:w="60"/>
              <w:right w:type="dxa" w:w="80"/>
            </w:tcMar>
          </w:tcPr>
          <w:p>
            <w:r>
              <w:rPr>
                <w:sz w:val="19"/>
                <w:szCs w:val="19"/>
              </w:rPr>
              <w:t xml:space="preserve">Text</w:t>
            </w:r>
          </w:p>
        </w:tc>
        <w:tc>
          <w:tcPr>
            <w:tcW w:type="dxa" w:w="4200"/>
            <w:shd w:fill="FFFFFF" w:val="clear"/>
            <w:tcMar>
              <w:top w:type="dxa" w:w="60"/>
              <w:left w:type="dxa" w:w="80"/>
              <w:bottom w:type="dxa" w:w="60"/>
              <w:right w:type="dxa" w:w="80"/>
            </w:tcMar>
          </w:tcPr>
          <w:p>
            <w:r>
              <w:rPr>
                <w:sz w:val="19"/>
                <w:szCs w:val="19"/>
              </w:rPr>
              <w:t xml:space="preserve">—</w:t>
            </w:r>
          </w:p>
        </w:tc>
      </w:tr>
    </w:tbl>
    <w:p>
      <w:pPr>
        <w:spacing w:after="160"/>
      </w:pPr>
      <w:r>
        <w:rPr>
          <w:sz w:val="21"/>
          <w:szCs w:val="21"/>
        </w:rPr>
        <w:t xml:space="preserve">Capabilities:</w:t>
      </w:r>
    </w:p>
    <w:p>
      <w:pPr>
        <w:pStyle w:val="ListParagraph"/>
        <w:numPr>
          <w:ilvl w:val="0"/>
          <w:numId w:val="2"/>
        </w:numPr>
        <w:spacing w:after="80"/>
      </w:pPr>
      <w:r>
        <w:rPr>
          <w:sz w:val="21"/>
          <w:szCs w:val="21"/>
        </w:rPr>
        <w:t xml:space="preserve">Search by date range (no lower bound restriction), request number, customer number.</w:t>
      </w:r>
    </w:p>
    <w:p>
      <w:pPr>
        <w:pStyle w:val="ListParagraph"/>
        <w:numPr>
          <w:ilvl w:val="0"/>
          <w:numId w:val="2"/>
        </w:numPr>
        <w:spacing w:after="80"/>
      </w:pPr>
      <w:r>
        <w:rPr>
          <w:sz w:val="21"/>
          <w:szCs w:val="21"/>
        </w:rPr>
        <w:t xml:space="preserve">Reassign a task to self or another user within the same business unit; reassignment permission is itself role-gated (e.g., only unit heads can reassign others' tasks).</w:t>
      </w:r>
    </w:p>
    <w:p>
      <w:pPr>
        <w:pStyle w:val="ListParagraph"/>
        <w:numPr>
          <w:ilvl w:val="0"/>
          <w:numId w:val="2"/>
        </w:numPr>
        <w:spacing w:after="80"/>
      </w:pPr>
      <w:r>
        <w:rPr>
          <w:sz w:val="21"/>
          <w:szCs w:val="21"/>
        </w:rPr>
        <w:t xml:space="preserve">Every reassignment is logged: date/time, from-owner, to-owner — independently searchable by request number, creator, customer, status, and date range.</w:t>
      </w:r>
    </w:p>
    <w:p>
      <w:pPr>
        <w:pStyle w:val="Heading1"/>
        <w:pageBreakBefore/>
        <w:spacing w:after="200" w:before="400"/>
      </w:pPr>
      <w:r>
        <w:rPr>
          <w:b/>
          <w:bCs/>
          <w:color w:val="1F3864"/>
          <w:sz w:val="32"/>
          <w:szCs w:val="32"/>
        </w:rPr>
        <w:t xml:space="preserve">16. Credit Bureau Integration Schema (Generic)</w:t>
      </w:r>
    </w:p>
    <w:p>
      <w:pPr>
        <w:spacing w:after="160"/>
      </w:pPr>
      <w:r>
        <w:rPr>
          <w:sz w:val="21"/>
          <w:szCs w:val="21"/>
        </w:rPr>
        <w:t xml:space="preserve">The reference engagement's market-exposure bureau integration was named for a Kuwait-specific bureau, but its field schema generalizes cleanly to any national credit bureau (e.g., CIBIL, Experian, Equifax) via the Credit Bureau Adapter (Section 11.1). Core fields any such adapter should expose: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6700"/>
      </w:tblGrid>
      <w:tr>
        <w:trPr>
          <w:tblHeader/>
        </w:trPr>
        <w:tc>
          <w:tcPr>
            <w:tcW w:type="dxa" w:w="2300"/>
            <w:shd w:fill="1F3864" w:val="clear"/>
            <w:tcMar>
              <w:top w:type="dxa" w:w="60"/>
              <w:left w:type="dxa" w:w="80"/>
              <w:bottom w:type="dxa" w:w="60"/>
              <w:right w:type="dxa" w:w="80"/>
            </w:tcMar>
          </w:tcPr>
          <w:p>
            <w:r>
              <w:rPr>
                <w:b/>
                <w:bCs/>
                <w:color w:val="FFFFFF"/>
                <w:sz w:val="19"/>
                <w:szCs w:val="19"/>
              </w:rPr>
              <w:t xml:space="preserve">Field Group</w:t>
            </w:r>
          </w:p>
        </w:tc>
        <w:tc>
          <w:tcPr>
            <w:tcW w:type="dxa" w:w="6700"/>
            <w:shd w:fill="1F3864" w:val="clear"/>
            <w:tcMar>
              <w:top w:type="dxa" w:w="60"/>
              <w:left w:type="dxa" w:w="80"/>
              <w:bottom w:type="dxa" w:w="60"/>
              <w:right w:type="dxa" w:w="80"/>
            </w:tcMar>
          </w:tcPr>
          <w:p>
            <w:r>
              <w:rPr>
                <w:b/>
                <w:bCs/>
                <w:color w:val="FFFFFF"/>
                <w:sz w:val="19"/>
                <w:szCs w:val="19"/>
              </w:rPr>
              <w:t xml:space="preserve">Representative Fields</w:t>
            </w:r>
          </w:p>
        </w:tc>
      </w:tr>
      <w:tr>
        <w:tc>
          <w:tcPr>
            <w:tcW w:type="dxa" w:w="2300"/>
            <w:shd w:fill="FFFFFF" w:val="clear"/>
            <w:tcMar>
              <w:top w:type="dxa" w:w="60"/>
              <w:left w:type="dxa" w:w="80"/>
              <w:bottom w:type="dxa" w:w="60"/>
              <w:right w:type="dxa" w:w="80"/>
            </w:tcMar>
          </w:tcPr>
          <w:p>
            <w:r>
              <w:rPr>
                <w:sz w:val="19"/>
                <w:szCs w:val="19"/>
              </w:rPr>
              <w:t xml:space="preserve">Identity</w:t>
            </w:r>
          </w:p>
        </w:tc>
        <w:tc>
          <w:tcPr>
            <w:tcW w:type="dxa" w:w="6700"/>
            <w:shd w:fill="FFFFFF" w:val="clear"/>
            <w:tcMar>
              <w:top w:type="dxa" w:w="60"/>
              <w:left w:type="dxa" w:w="80"/>
              <w:bottom w:type="dxa" w:w="60"/>
              <w:right w:type="dxa" w:w="80"/>
            </w:tcMar>
          </w:tcPr>
          <w:p>
            <w:pPr>
              <w:pStyle w:val="ListParagraph"/>
              <w:numPr>
                <w:ilvl w:val="0"/>
                <w:numId w:val="1"/>
              </w:numPr>
              <w:spacing w:after="30"/>
            </w:pPr>
            <w:r>
              <w:rPr>
                <w:sz w:val="19"/>
                <w:szCs w:val="19"/>
              </w:rPr>
              <w:t xml:space="preserve">Legal/English Name</w:t>
            </w:r>
          </w:p>
          <w:p>
            <w:pPr>
              <w:pStyle w:val="ListParagraph"/>
              <w:numPr>
                <w:ilvl w:val="0"/>
                <w:numId w:val="1"/>
              </w:numPr>
              <w:spacing w:after="30"/>
            </w:pPr>
            <w:r>
              <w:rPr>
                <w:sz w:val="19"/>
                <w:szCs w:val="19"/>
              </w:rPr>
              <w:t xml:space="preserve">Local-script Name</w:t>
            </w:r>
          </w:p>
          <w:p>
            <w:pPr>
              <w:pStyle w:val="ListParagraph"/>
              <w:numPr>
                <w:ilvl w:val="0"/>
                <w:numId w:val="1"/>
              </w:numPr>
              <w:spacing w:after="30"/>
            </w:pPr>
            <w:r>
              <w:rPr>
                <w:sz w:val="19"/>
                <w:szCs w:val="19"/>
              </w:rPr>
              <w:t xml:space="preserve">ID Number &amp; Type</w:t>
            </w:r>
          </w:p>
          <w:p>
            <w:pPr>
              <w:pStyle w:val="ListParagraph"/>
              <w:numPr>
                <w:ilvl w:val="0"/>
                <w:numId w:val="1"/>
              </w:numPr>
              <w:spacing w:after="30"/>
            </w:pPr>
            <w:r>
              <w:rPr>
                <w:sz w:val="19"/>
                <w:szCs w:val="19"/>
              </w:rPr>
              <w:t xml:space="preserve">Legal Entity Type</w:t>
            </w:r>
          </w:p>
          <w:p>
            <w:pPr>
              <w:pStyle w:val="ListParagraph"/>
              <w:numPr>
                <w:ilvl w:val="0"/>
                <w:numId w:val="1"/>
              </w:numPr>
              <w:spacing w:after="30"/>
            </w:pPr>
            <w:r>
              <w:rPr>
                <w:sz w:val="19"/>
                <w:szCs w:val="19"/>
              </w:rPr>
              <w:t xml:space="preserve">Tax ID</w:t>
            </w:r>
          </w:p>
          <w:p>
            <w:pPr>
              <w:pStyle w:val="ListParagraph"/>
              <w:numPr>
                <w:ilvl w:val="0"/>
                <w:numId w:val="1"/>
              </w:numPr>
              <w:spacing w:after="30"/>
            </w:pPr>
            <w:r>
              <w:rPr>
                <w:sz w:val="19"/>
                <w:szCs w:val="19"/>
              </w:rPr>
              <w:t xml:space="preserve">Registration Number &amp; Date</w:t>
            </w:r>
          </w:p>
        </w:tc>
      </w:tr>
      <w:tr>
        <w:tc>
          <w:tcPr>
            <w:tcW w:type="dxa" w:w="2300"/>
            <w:shd w:fill="DCE6F1" w:val="clear"/>
            <w:tcMar>
              <w:top w:type="dxa" w:w="60"/>
              <w:left w:type="dxa" w:w="80"/>
              <w:bottom w:type="dxa" w:w="60"/>
              <w:right w:type="dxa" w:w="80"/>
            </w:tcMar>
          </w:tcPr>
          <w:p>
            <w:r>
              <w:rPr>
                <w:sz w:val="19"/>
                <w:szCs w:val="19"/>
              </w:rPr>
              <w:t xml:space="preserve">Report Metadata</w:t>
            </w:r>
          </w:p>
        </w:tc>
        <w:tc>
          <w:tcPr>
            <w:tcW w:type="dxa" w:w="6700"/>
            <w:shd w:fill="DCE6F1" w:val="clear"/>
            <w:tcMar>
              <w:top w:type="dxa" w:w="60"/>
              <w:left w:type="dxa" w:w="80"/>
              <w:bottom w:type="dxa" w:w="60"/>
              <w:right w:type="dxa" w:w="80"/>
            </w:tcMar>
          </w:tcPr>
          <w:p>
            <w:pPr>
              <w:pStyle w:val="ListParagraph"/>
              <w:numPr>
                <w:ilvl w:val="0"/>
                <w:numId w:val="1"/>
              </w:numPr>
              <w:spacing w:after="30"/>
            </w:pPr>
            <w:r>
              <w:rPr>
                <w:sz w:val="19"/>
                <w:szCs w:val="19"/>
              </w:rPr>
              <w:t xml:space="preserve">Report Order Date &amp; Time</w:t>
            </w:r>
          </w:p>
          <w:p>
            <w:pPr>
              <w:pStyle w:val="ListParagraph"/>
              <w:numPr>
                <w:ilvl w:val="0"/>
                <w:numId w:val="1"/>
              </w:numPr>
              <w:spacing w:after="30"/>
            </w:pPr>
            <w:r>
              <w:rPr>
                <w:sz w:val="19"/>
                <w:szCs w:val="19"/>
              </w:rPr>
              <w:t xml:space="preserve">Transaction Number</w:t>
            </w:r>
          </w:p>
          <w:p>
            <w:pPr>
              <w:pStyle w:val="ListParagraph"/>
              <w:numPr>
                <w:ilvl w:val="0"/>
                <w:numId w:val="1"/>
              </w:numPr>
              <w:spacing w:after="30"/>
            </w:pPr>
            <w:r>
              <w:rPr>
                <w:sz w:val="19"/>
                <w:szCs w:val="19"/>
              </w:rPr>
              <w:t xml:space="preserve">Requesting Institution</w:t>
            </w:r>
          </w:p>
          <w:p>
            <w:pPr>
              <w:pStyle w:val="ListParagraph"/>
              <w:numPr>
                <w:ilvl w:val="0"/>
                <w:numId w:val="1"/>
              </w:numPr>
              <w:spacing w:after="30"/>
            </w:pPr>
            <w:r>
              <w:rPr>
                <w:sz w:val="19"/>
                <w:szCs w:val="19"/>
              </w:rPr>
              <w:t xml:space="preserve">User ID</w:t>
            </w:r>
          </w:p>
          <w:p>
            <w:pPr>
              <w:pStyle w:val="ListParagraph"/>
              <w:numPr>
                <w:ilvl w:val="0"/>
                <w:numId w:val="1"/>
              </w:numPr>
              <w:spacing w:after="30"/>
            </w:pPr>
            <w:r>
              <w:rPr>
                <w:sz w:val="19"/>
                <w:szCs w:val="19"/>
              </w:rPr>
              <w:t xml:space="preserve">Branch</w:t>
            </w:r>
          </w:p>
        </w:tc>
      </w:tr>
      <w:tr>
        <w:tc>
          <w:tcPr>
            <w:tcW w:type="dxa" w:w="2300"/>
            <w:shd w:fill="FFFFFF" w:val="clear"/>
            <w:tcMar>
              <w:top w:type="dxa" w:w="60"/>
              <w:left w:type="dxa" w:w="80"/>
              <w:bottom w:type="dxa" w:w="60"/>
              <w:right w:type="dxa" w:w="80"/>
            </w:tcMar>
          </w:tcPr>
          <w:p>
            <w:r>
              <w:rPr>
                <w:sz w:val="19"/>
                <w:szCs w:val="19"/>
              </w:rPr>
              <w:t xml:space="preserve">Aggregate Exposure</w:t>
            </w:r>
          </w:p>
        </w:tc>
        <w:tc>
          <w:tcPr>
            <w:tcW w:type="dxa" w:w="6700"/>
            <w:shd w:fill="FFFFFF" w:val="clear"/>
            <w:tcMar>
              <w:top w:type="dxa" w:w="60"/>
              <w:left w:type="dxa" w:w="80"/>
              <w:bottom w:type="dxa" w:w="60"/>
              <w:right w:type="dxa" w:w="80"/>
            </w:tcMar>
          </w:tcPr>
          <w:p>
            <w:pPr>
              <w:pStyle w:val="ListParagraph"/>
              <w:numPr>
                <w:ilvl w:val="0"/>
                <w:numId w:val="1"/>
              </w:numPr>
              <w:spacing w:after="30"/>
            </w:pPr>
            <w:r>
              <w:rPr>
                <w:sz w:val="19"/>
                <w:szCs w:val="19"/>
              </w:rPr>
              <w:t xml:space="preserve">Total Credit Limit — Cash</w:t>
            </w:r>
          </w:p>
          <w:p>
            <w:pPr>
              <w:pStyle w:val="ListParagraph"/>
              <w:numPr>
                <w:ilvl w:val="0"/>
                <w:numId w:val="1"/>
              </w:numPr>
              <w:spacing w:after="30"/>
            </w:pPr>
            <w:r>
              <w:rPr>
                <w:sz w:val="19"/>
                <w:szCs w:val="19"/>
              </w:rPr>
              <w:t xml:space="preserve">Total Outstanding — Cash</w:t>
            </w:r>
          </w:p>
          <w:p>
            <w:pPr>
              <w:pStyle w:val="ListParagraph"/>
              <w:numPr>
                <w:ilvl w:val="0"/>
                <w:numId w:val="1"/>
              </w:numPr>
              <w:spacing w:after="30"/>
            </w:pPr>
            <w:r>
              <w:rPr>
                <w:sz w:val="19"/>
                <w:szCs w:val="19"/>
              </w:rPr>
              <w:t xml:space="preserve">Total Credit Limit — Non-Cash</w:t>
            </w:r>
          </w:p>
          <w:p>
            <w:pPr>
              <w:pStyle w:val="ListParagraph"/>
              <w:numPr>
                <w:ilvl w:val="0"/>
                <w:numId w:val="1"/>
              </w:numPr>
              <w:spacing w:after="30"/>
            </w:pPr>
            <w:r>
              <w:rPr>
                <w:sz w:val="19"/>
                <w:szCs w:val="19"/>
              </w:rPr>
              <w:t xml:space="preserve">Total Outstanding — Non-Cash</w:t>
            </w:r>
          </w:p>
          <w:p>
            <w:pPr>
              <w:pStyle w:val="ListParagraph"/>
              <w:numPr>
                <w:ilvl w:val="0"/>
                <w:numId w:val="1"/>
              </w:numPr>
              <w:spacing w:after="30"/>
            </w:pPr>
            <w:r>
              <w:rPr>
                <w:sz w:val="19"/>
                <w:szCs w:val="19"/>
              </w:rPr>
              <w:t xml:space="preserve">Total Credit Limit — Other Commitments</w:t>
            </w:r>
          </w:p>
        </w:tc>
      </w:tr>
      <w:tr>
        <w:tc>
          <w:tcPr>
            <w:tcW w:type="dxa" w:w="2300"/>
            <w:shd w:fill="DCE6F1" w:val="clear"/>
            <w:tcMar>
              <w:top w:type="dxa" w:w="60"/>
              <w:left w:type="dxa" w:w="80"/>
              <w:bottom w:type="dxa" w:w="60"/>
              <w:right w:type="dxa" w:w="80"/>
            </w:tcMar>
          </w:tcPr>
          <w:p>
            <w:r>
              <w:rPr>
                <w:sz w:val="19"/>
                <w:szCs w:val="19"/>
              </w:rPr>
              <w:t xml:space="preserve">Creditor Concentration</w:t>
            </w:r>
          </w:p>
        </w:tc>
        <w:tc>
          <w:tcPr>
            <w:tcW w:type="dxa" w:w="6700"/>
            <w:shd w:fill="DCE6F1" w:val="clear"/>
            <w:tcMar>
              <w:top w:type="dxa" w:w="60"/>
              <w:left w:type="dxa" w:w="80"/>
              <w:bottom w:type="dxa" w:w="60"/>
              <w:right w:type="dxa" w:w="80"/>
            </w:tcMar>
          </w:tcPr>
          <w:p>
            <w:pPr>
              <w:pStyle w:val="ListParagraph"/>
              <w:numPr>
                <w:ilvl w:val="0"/>
                <w:numId w:val="1"/>
              </w:numPr>
              <w:spacing w:after="30"/>
            </w:pPr>
            <w:r>
              <w:rPr>
                <w:sz w:val="19"/>
                <w:szCs w:val="19"/>
              </w:rPr>
              <w:t xml:space="preserve">Number of Creditors</w:t>
            </w:r>
          </w:p>
          <w:p>
            <w:pPr>
              <w:pStyle w:val="ListParagraph"/>
              <w:numPr>
                <w:ilvl w:val="0"/>
                <w:numId w:val="1"/>
              </w:numPr>
              <w:spacing w:after="30"/>
            </w:pPr>
            <w:r>
              <w:rPr>
                <w:sz w:val="19"/>
                <w:szCs w:val="19"/>
              </w:rPr>
              <w:t xml:space="preserve">Number of Open/Closed Cash Facilities</w:t>
            </w:r>
          </w:p>
          <w:p>
            <w:pPr>
              <w:pStyle w:val="ListParagraph"/>
              <w:numPr>
                <w:ilvl w:val="0"/>
                <w:numId w:val="1"/>
              </w:numPr>
              <w:spacing w:after="30"/>
            </w:pPr>
            <w:r>
              <w:rPr>
                <w:sz w:val="19"/>
                <w:szCs w:val="19"/>
              </w:rPr>
              <w:t xml:space="preserve">Number of Open/Closed Non-Cash Facilities</w:t>
            </w:r>
          </w:p>
        </w:tc>
      </w:tr>
      <w:tr>
        <w:tc>
          <w:tcPr>
            <w:tcW w:type="dxa" w:w="2300"/>
            <w:shd w:fill="FFFFFF" w:val="clear"/>
            <w:tcMar>
              <w:top w:type="dxa" w:w="60"/>
              <w:left w:type="dxa" w:w="80"/>
              <w:bottom w:type="dxa" w:w="60"/>
              <w:right w:type="dxa" w:w="80"/>
            </w:tcMar>
          </w:tcPr>
          <w:p>
            <w:r>
              <w:rPr>
                <w:sz w:val="19"/>
                <w:szCs w:val="19"/>
              </w:rPr>
              <w:t xml:space="preserve">Payment Behavior</w:t>
            </w:r>
          </w:p>
        </w:tc>
        <w:tc>
          <w:tcPr>
            <w:tcW w:type="dxa" w:w="6700"/>
            <w:shd w:fill="FFFFFF" w:val="clear"/>
            <w:tcMar>
              <w:top w:type="dxa" w:w="60"/>
              <w:left w:type="dxa" w:w="80"/>
              <w:bottom w:type="dxa" w:w="60"/>
              <w:right w:type="dxa" w:w="80"/>
            </w:tcMar>
          </w:tcPr>
          <w:p>
            <w:pPr>
              <w:pStyle w:val="ListParagraph"/>
              <w:numPr>
                <w:ilvl w:val="0"/>
                <w:numId w:val="1"/>
              </w:numPr>
              <w:spacing w:after="30"/>
            </w:pPr>
            <w:r>
              <w:rPr>
                <w:sz w:val="19"/>
                <w:szCs w:val="19"/>
              </w:rPr>
              <w:t xml:space="preserve">Current Historical Account Status</w:t>
            </w:r>
          </w:p>
          <w:p>
            <w:pPr>
              <w:pStyle w:val="ListParagraph"/>
              <w:numPr>
                <w:ilvl w:val="0"/>
                <w:numId w:val="1"/>
              </w:numPr>
              <w:spacing w:after="30"/>
            </w:pPr>
            <w:r>
              <w:rPr>
                <w:sz w:val="19"/>
                <w:szCs w:val="19"/>
              </w:rPr>
              <w:t xml:space="preserve">Worst Historical Account Status</w:t>
            </w:r>
          </w:p>
          <w:p>
            <w:pPr>
              <w:pStyle w:val="ListParagraph"/>
              <w:numPr>
                <w:ilvl w:val="0"/>
                <w:numId w:val="1"/>
              </w:numPr>
              <w:spacing w:after="30"/>
            </w:pPr>
            <w:r>
              <w:rPr>
                <w:sz w:val="19"/>
                <w:szCs w:val="19"/>
              </w:rPr>
              <w:t xml:space="preserve">Worst Historical Payments Overdue</w:t>
            </w:r>
          </w:p>
          <w:p>
            <w:pPr>
              <w:pStyle w:val="ListParagraph"/>
              <w:numPr>
                <w:ilvl w:val="0"/>
                <w:numId w:val="1"/>
              </w:numPr>
              <w:spacing w:after="30"/>
            </w:pPr>
            <w:r>
              <w:rPr>
                <w:sz w:val="19"/>
                <w:szCs w:val="19"/>
              </w:rPr>
              <w:t xml:space="preserve">Max % Utilization (trailing 24 months)</w:t>
            </w:r>
          </w:p>
          <w:p>
            <w:pPr>
              <w:pStyle w:val="ListParagraph"/>
              <w:numPr>
                <w:ilvl w:val="0"/>
                <w:numId w:val="1"/>
              </w:numPr>
              <w:spacing w:after="30"/>
            </w:pPr>
            <w:r>
              <w:rPr>
                <w:sz w:val="19"/>
                <w:szCs w:val="19"/>
              </w:rPr>
              <w:t xml:space="preserve">Max Facilities Overdue (trailing 24 months)</w:t>
            </w:r>
          </w:p>
          <w:p>
            <w:pPr>
              <w:pStyle w:val="ListParagraph"/>
              <w:numPr>
                <w:ilvl w:val="0"/>
                <w:numId w:val="1"/>
              </w:numPr>
              <w:spacing w:after="30"/>
            </w:pPr>
            <w:r>
              <w:rPr>
                <w:sz w:val="19"/>
                <w:szCs w:val="19"/>
              </w:rPr>
              <w:t xml:space="preserve">Accounts Under Legal Dispute</w:t>
            </w:r>
          </w:p>
        </w:tc>
      </w:tr>
    </w:tbl>
    <w:p>
      <w:pPr>
        <w:pStyle w:val="Heading1"/>
        <w:pageBreakBefore/>
        <w:spacing w:after="200" w:before="400"/>
      </w:pPr>
      <w:r>
        <w:rPr>
          <w:b/>
          <w:bCs/>
          <w:color w:val="1F3864"/>
          <w:sz w:val="32"/>
          <w:szCs w:val="32"/>
        </w:rPr>
        <w:t xml:space="preserve">17. Relationship-Based Pricing (Interest/Margin Tiering)</w:t>
      </w:r>
    </w:p>
    <w:p>
      <w:pPr>
        <w:spacing w:after="160"/>
      </w:pPr>
      <w:r>
        <w:rPr>
          <w:sz w:val="21"/>
          <w:szCs w:val="21"/>
        </w:rPr>
        <w:t xml:space="preserve">A volume-based relationship pricing pattern: as a customer or group's utilization of a product crosses configured thresholds, a discount/margin adjustment applies automatically.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300"/>
        <w:gridCol w:w="5700"/>
      </w:tblGrid>
      <w:tr>
        <w:trPr>
          <w:tblHeader/>
        </w:trPr>
        <w:tc>
          <w:tcPr>
            <w:tcW w:type="dxa" w:w="3300"/>
            <w:shd w:fill="1F3864" w:val="clear"/>
            <w:tcMar>
              <w:top w:type="dxa" w:w="60"/>
              <w:left w:type="dxa" w:w="80"/>
              <w:bottom w:type="dxa" w:w="60"/>
              <w:right w:type="dxa" w:w="80"/>
            </w:tcMar>
          </w:tcPr>
          <w:p>
            <w:r>
              <w:rPr>
                <w:b/>
                <w:bCs/>
                <w:color w:val="FFFFFF"/>
                <w:sz w:val="19"/>
                <w:szCs w:val="19"/>
              </w:rPr>
              <w:t xml:space="preserve">Field</w:t>
            </w:r>
          </w:p>
        </w:tc>
        <w:tc>
          <w:tcPr>
            <w:tcW w:type="dxa" w:w="5700"/>
            <w:shd w:fill="1F3864" w:val="clear"/>
            <w:tcMar>
              <w:top w:type="dxa" w:w="60"/>
              <w:left w:type="dxa" w:w="80"/>
              <w:bottom w:type="dxa" w:w="60"/>
              <w:right w:type="dxa" w:w="80"/>
            </w:tcMar>
          </w:tcPr>
          <w:p>
            <w:r>
              <w:rPr>
                <w:b/>
                <w:bCs/>
                <w:color w:val="FFFFFF"/>
                <w:sz w:val="19"/>
                <w:szCs w:val="19"/>
              </w:rPr>
              <w:t xml:space="preserve">Notes</w:t>
            </w:r>
          </w:p>
        </w:tc>
      </w:tr>
      <w:tr>
        <w:tc>
          <w:tcPr>
            <w:tcW w:type="dxa" w:w="3300"/>
            <w:shd w:fill="FFFFFF" w:val="clear"/>
            <w:tcMar>
              <w:top w:type="dxa" w:w="60"/>
              <w:left w:type="dxa" w:w="80"/>
              <w:bottom w:type="dxa" w:w="60"/>
              <w:right w:type="dxa" w:w="80"/>
            </w:tcMar>
          </w:tcPr>
          <w:p>
            <w:r>
              <w:rPr>
                <w:sz w:val="19"/>
                <w:szCs w:val="19"/>
              </w:rPr>
              <w:t xml:space="preserve">Applicability Scope</w:t>
            </w:r>
          </w:p>
        </w:tc>
        <w:tc>
          <w:tcPr>
            <w:tcW w:type="dxa" w:w="5700"/>
            <w:shd w:fill="FFFFFF" w:val="clear"/>
            <w:tcMar>
              <w:top w:type="dxa" w:w="60"/>
              <w:left w:type="dxa" w:w="80"/>
              <w:bottom w:type="dxa" w:w="60"/>
              <w:right w:type="dxa" w:w="80"/>
            </w:tcMar>
          </w:tcPr>
          <w:p>
            <w:r>
              <w:rPr>
                <w:sz w:val="19"/>
                <w:szCs w:val="19"/>
              </w:rPr>
              <w:t xml:space="preserve">Single customer or full customer group — configurable per tiering definition</w:t>
            </w:r>
          </w:p>
        </w:tc>
      </w:tr>
      <w:tr>
        <w:tc>
          <w:tcPr>
            <w:tcW w:type="dxa" w:w="3300"/>
            <w:shd w:fill="DCE6F1" w:val="clear"/>
            <w:tcMar>
              <w:top w:type="dxa" w:w="60"/>
              <w:left w:type="dxa" w:w="80"/>
              <w:bottom w:type="dxa" w:w="60"/>
              <w:right w:type="dxa" w:w="80"/>
            </w:tcMar>
          </w:tcPr>
          <w:p>
            <w:r>
              <w:rPr>
                <w:sz w:val="19"/>
                <w:szCs w:val="19"/>
              </w:rPr>
              <w:t xml:space="preserve">Tiering Type</w:t>
            </w:r>
          </w:p>
        </w:tc>
        <w:tc>
          <w:tcPr>
            <w:tcW w:type="dxa" w:w="5700"/>
            <w:shd w:fill="DCE6F1" w:val="clear"/>
            <w:tcMar>
              <w:top w:type="dxa" w:w="60"/>
              <w:left w:type="dxa" w:w="80"/>
              <w:bottom w:type="dxa" w:w="60"/>
              <w:right w:type="dxa" w:w="80"/>
            </w:tcMar>
          </w:tcPr>
          <w:p>
            <w:r>
              <w:rPr>
                <w:sz w:val="19"/>
                <w:szCs w:val="19"/>
              </w:rPr>
              <w:t xml:space="preserve">Utilization Amount or Utilization Percentage</w:t>
            </w:r>
          </w:p>
        </w:tc>
      </w:tr>
      <w:tr>
        <w:tc>
          <w:tcPr>
            <w:tcW w:type="dxa" w:w="3300"/>
            <w:shd w:fill="FFFFFF" w:val="clear"/>
            <w:tcMar>
              <w:top w:type="dxa" w:w="60"/>
              <w:left w:type="dxa" w:w="80"/>
              <w:bottom w:type="dxa" w:w="60"/>
              <w:right w:type="dxa" w:w="80"/>
            </w:tcMar>
          </w:tcPr>
          <w:p>
            <w:r>
              <w:rPr>
                <w:sz w:val="19"/>
                <w:szCs w:val="19"/>
              </w:rPr>
              <w:t xml:space="preserve">Range (From/To)</w:t>
            </w:r>
          </w:p>
        </w:tc>
        <w:tc>
          <w:tcPr>
            <w:tcW w:type="dxa" w:w="5700"/>
            <w:shd w:fill="FFFFFF" w:val="clear"/>
            <w:tcMar>
              <w:top w:type="dxa" w:w="60"/>
              <w:left w:type="dxa" w:w="80"/>
              <w:bottom w:type="dxa" w:w="60"/>
              <w:right w:type="dxa" w:w="80"/>
            </w:tcMar>
          </w:tcPr>
          <w:p>
            <w:r>
              <w:rPr>
                <w:sz w:val="19"/>
                <w:szCs w:val="19"/>
              </w:rPr>
              <w:t xml:space="preserve">Shown conditionally based on Tiering Type</w:t>
            </w:r>
          </w:p>
        </w:tc>
      </w:tr>
      <w:tr>
        <w:tc>
          <w:tcPr>
            <w:tcW w:type="dxa" w:w="3300"/>
            <w:shd w:fill="DCE6F1" w:val="clear"/>
            <w:tcMar>
              <w:top w:type="dxa" w:w="60"/>
              <w:left w:type="dxa" w:w="80"/>
              <w:bottom w:type="dxa" w:w="60"/>
              <w:right w:type="dxa" w:w="80"/>
            </w:tcMar>
          </w:tcPr>
          <w:p>
            <w:r>
              <w:rPr>
                <w:sz w:val="19"/>
                <w:szCs w:val="19"/>
              </w:rPr>
              <w:t xml:space="preserve">Validity Duration</w:t>
            </w:r>
          </w:p>
        </w:tc>
        <w:tc>
          <w:tcPr>
            <w:tcW w:type="dxa" w:w="5700"/>
            <w:shd w:fill="DCE6F1" w:val="clear"/>
            <w:tcMar>
              <w:top w:type="dxa" w:w="60"/>
              <w:left w:type="dxa" w:w="80"/>
              <w:bottom w:type="dxa" w:w="60"/>
              <w:right w:type="dxa" w:w="80"/>
            </w:tcMar>
          </w:tcPr>
          <w:p>
            <w:r>
              <w:rPr>
                <w:sz w:val="19"/>
                <w:szCs w:val="19"/>
              </w:rPr>
              <w:t xml:space="preserve">Days the tier remains valid before re-evaluation</w:t>
            </w:r>
          </w:p>
        </w:tc>
      </w:tr>
      <w:tr>
        <w:tc>
          <w:tcPr>
            <w:tcW w:type="dxa" w:w="3300"/>
            <w:shd w:fill="FFFFFF" w:val="clear"/>
            <w:tcMar>
              <w:top w:type="dxa" w:w="60"/>
              <w:left w:type="dxa" w:w="80"/>
              <w:bottom w:type="dxa" w:w="60"/>
              <w:right w:type="dxa" w:w="80"/>
            </w:tcMar>
          </w:tcPr>
          <w:p>
            <w:r>
              <w:rPr>
                <w:sz w:val="19"/>
                <w:szCs w:val="19"/>
              </w:rPr>
              <w:t xml:space="preserve">Discount Rate</w:t>
            </w:r>
          </w:p>
        </w:tc>
        <w:tc>
          <w:tcPr>
            <w:tcW w:type="dxa" w:w="5700"/>
            <w:shd w:fill="FFFFFF" w:val="clear"/>
            <w:tcMar>
              <w:top w:type="dxa" w:w="60"/>
              <w:left w:type="dxa" w:w="80"/>
              <w:bottom w:type="dxa" w:w="60"/>
              <w:right w:type="dxa" w:w="80"/>
            </w:tcMar>
          </w:tcPr>
          <w:p>
            <w:r>
              <w:rPr>
                <w:sz w:val="19"/>
                <w:szCs w:val="19"/>
              </w:rPr>
              <w:t xml:space="preserve">Margin/rate adjustment applied within the range</w:t>
            </w:r>
          </w:p>
        </w:tc>
      </w:tr>
      <w:tr>
        <w:tc>
          <w:tcPr>
            <w:tcW w:type="dxa" w:w="3300"/>
            <w:shd w:fill="DCE6F1" w:val="clear"/>
            <w:tcMar>
              <w:top w:type="dxa" w:w="60"/>
              <w:left w:type="dxa" w:w="80"/>
              <w:bottom w:type="dxa" w:w="60"/>
              <w:right w:type="dxa" w:w="80"/>
            </w:tcMar>
          </w:tcPr>
          <w:p>
            <w:r>
              <w:rPr>
                <w:sz w:val="19"/>
                <w:szCs w:val="19"/>
              </w:rPr>
              <w:t xml:space="preserve">Total Limit / Outstanding / Approved Limit (aggregated)</w:t>
            </w:r>
          </w:p>
        </w:tc>
        <w:tc>
          <w:tcPr>
            <w:tcW w:type="dxa" w:w="5700"/>
            <w:shd w:fill="DCE6F1" w:val="clear"/>
            <w:tcMar>
              <w:top w:type="dxa" w:w="60"/>
              <w:left w:type="dxa" w:w="80"/>
              <w:bottom w:type="dxa" w:w="60"/>
              <w:right w:type="dxa" w:w="80"/>
            </w:tcMar>
          </w:tcPr>
          <w:p>
            <w:r>
              <w:rPr>
                <w:sz w:val="19"/>
                <w:szCs w:val="19"/>
              </w:rPr>
              <w:t xml:space="preserve">Summed in the base reporting currency across all in-scope facilities, per the Applicability Scope</w:t>
            </w:r>
          </w:p>
        </w:tc>
      </w:tr>
    </w:tbl>
    <w:p>
      <w:pPr>
        <w:spacing w:after="160"/>
        <w:ind w:left="360"/>
      </w:pPr>
      <w:r>
        <w:rPr>
          <w:i/>
          <w:iCs/>
          <w:color w:val="595959"/>
          <w:sz w:val="20"/>
          <w:szCs w:val="20"/>
        </w:rPr>
        <w:t xml:space="preserve">Project/Contract Finance Module is covered in Appendix D for institutions that lend against construction or project contracts (useful where the borrower base includes contractors/MEP-type businesses).</w:t>
      </w:r>
    </w:p>
    <w:p>
      <w:pPr>
        <w:pStyle w:val="Heading1"/>
        <w:pageBreakBefore/>
        <w:spacing w:after="200" w:before="400"/>
      </w:pPr>
      <w:r>
        <w:rPr>
          <w:b/>
          <w:bCs/>
          <w:color w:val="1F3864"/>
          <w:sz w:val="32"/>
          <w:szCs w:val="32"/>
        </w:rPr>
        <w:t xml:space="preserve">18. Configuration Requirements Register</w:t>
      </w:r>
    </w:p>
    <w:p>
      <w:pPr>
        <w:spacing w:after="160"/>
      </w:pPr>
      <w:r>
        <w:rPr>
          <w:sz w:val="21"/>
          <w:szCs w:val="21"/>
        </w:rPr>
        <w:t xml:space="preserve">Every item below is referenced somewhere earlier in this document; this section exists to pull them into a single, implementation-ready checklist rather than leaving an implementer to hunt through each section. No configurable item should ship as a hardcoded value in the core engine — that is the central design principle this document is built around (Section 1.2).</w:t>
      </w:r>
    </w:p>
    <w:p>
      <w:pPr>
        <w:pStyle w:val="Heading2"/>
        <w:keepNext/>
        <w:spacing w:after="140" w:before="320"/>
      </w:pPr>
      <w:r>
        <w:rPr>
          <w:b/>
          <w:bCs/>
          <w:color w:val="2E5496"/>
          <w:sz w:val="26"/>
          <w:szCs w:val="26"/>
        </w:rPr>
        <w:t xml:space="preserve">18.1 Organizational &amp; Role Configuration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2000"/>
        <w:gridCol w:w="2300"/>
      </w:tblGrid>
      <w:tr>
        <w:trPr>
          <w:tblHeader/>
        </w:trPr>
        <w:tc>
          <w:tcPr>
            <w:tcW w:type="dxa" w:w="2400"/>
            <w:shd w:fill="1F3864" w:val="clear"/>
            <w:tcMar>
              <w:top w:type="dxa" w:w="60"/>
              <w:left w:type="dxa" w:w="80"/>
              <w:bottom w:type="dxa" w:w="60"/>
              <w:right w:type="dxa" w:w="80"/>
            </w:tcMar>
          </w:tcPr>
          <w:p>
            <w:r>
              <w:rPr>
                <w:b/>
                <w:bCs/>
                <w:color w:val="FFFFFF"/>
                <w:sz w:val="19"/>
                <w:szCs w:val="19"/>
              </w:rPr>
              <w:t xml:space="preserve">Configuration Item</w:t>
            </w:r>
          </w:p>
        </w:tc>
        <w:tc>
          <w:tcPr>
            <w:tcW w:type="dxa" w:w="2600"/>
            <w:shd w:fill="1F3864" w:val="clear"/>
            <w:tcMar>
              <w:top w:type="dxa" w:w="60"/>
              <w:left w:type="dxa" w:w="80"/>
              <w:bottom w:type="dxa" w:w="60"/>
              <w:right w:type="dxa" w:w="80"/>
            </w:tcMar>
          </w:tcPr>
          <w:p>
            <w:r>
              <w:rPr>
                <w:b/>
                <w:bCs/>
                <w:color w:val="FFFFFF"/>
                <w:sz w:val="19"/>
                <w:szCs w:val="19"/>
              </w:rPr>
              <w:t xml:space="preserve">Type / Format</w:t>
            </w:r>
          </w:p>
        </w:tc>
        <w:tc>
          <w:tcPr>
            <w:tcW w:type="dxa" w:w="2000"/>
            <w:shd w:fill="1F3864" w:val="clear"/>
            <w:tcMar>
              <w:top w:type="dxa" w:w="60"/>
              <w:left w:type="dxa" w:w="80"/>
              <w:bottom w:type="dxa" w:w="60"/>
              <w:right w:type="dxa" w:w="80"/>
            </w:tcMar>
          </w:tcPr>
          <w:p>
            <w:r>
              <w:rPr>
                <w:b/>
                <w:bCs/>
                <w:color w:val="FFFFFF"/>
                <w:sz w:val="19"/>
                <w:szCs w:val="19"/>
              </w:rPr>
              <w:t xml:space="preserve">Set By</w:t>
            </w:r>
          </w:p>
        </w:tc>
        <w:tc>
          <w:tcPr>
            <w:tcW w:type="dxa" w:w="2300"/>
            <w:shd w:fill="1F3864" w:val="clear"/>
            <w:tcMar>
              <w:top w:type="dxa" w:w="60"/>
              <w:left w:type="dxa" w:w="80"/>
              <w:bottom w:type="dxa" w:w="60"/>
              <w:right w:type="dxa" w:w="80"/>
            </w:tcMar>
          </w:tcPr>
          <w:p>
            <w:r>
              <w:rPr>
                <w:b/>
                <w:bCs/>
                <w:color w:val="FFFFFF"/>
                <w:sz w:val="19"/>
                <w:szCs w:val="19"/>
              </w:rPr>
              <w:t xml:space="preserve">Example / Reference</w:t>
            </w:r>
          </w:p>
        </w:tc>
      </w:tr>
      <w:tr>
        <w:tc>
          <w:tcPr>
            <w:tcW w:type="dxa" w:w="2400"/>
            <w:shd w:fill="FFFFFF" w:val="clear"/>
            <w:tcMar>
              <w:top w:type="dxa" w:w="60"/>
              <w:left w:type="dxa" w:w="80"/>
              <w:bottom w:type="dxa" w:w="60"/>
              <w:right w:type="dxa" w:w="80"/>
            </w:tcMar>
          </w:tcPr>
          <w:p>
            <w:r>
              <w:rPr>
                <w:sz w:val="19"/>
                <w:szCs w:val="19"/>
              </w:rPr>
              <w:t xml:space="preserve">Role names &amp; labels</w:t>
            </w:r>
          </w:p>
        </w:tc>
        <w:tc>
          <w:tcPr>
            <w:tcW w:type="dxa" w:w="2600"/>
            <w:shd w:fill="FFFFFF" w:val="clear"/>
            <w:tcMar>
              <w:top w:type="dxa" w:w="60"/>
              <w:left w:type="dxa" w:w="80"/>
              <w:bottom w:type="dxa" w:w="60"/>
              <w:right w:type="dxa" w:w="80"/>
            </w:tcMar>
          </w:tcPr>
          <w:p>
            <w:r>
              <w:rPr>
                <w:sz w:val="19"/>
                <w:szCs w:val="19"/>
              </w:rPr>
              <w:t xml:space="preserve">Catalog (code → display label)</w:t>
            </w:r>
          </w:p>
        </w:tc>
        <w:tc>
          <w:tcPr>
            <w:tcW w:type="dxa" w:w="2000"/>
            <w:shd w:fill="FFFFFF" w:val="clear"/>
            <w:tcMar>
              <w:top w:type="dxa" w:w="60"/>
              <w:left w:type="dxa" w:w="80"/>
              <w:bottom w:type="dxa" w:w="60"/>
              <w:right w:type="dxa" w:w="80"/>
            </w:tcMar>
          </w:tcPr>
          <w:p>
            <w:r>
              <w:rPr>
                <w:sz w:val="19"/>
                <w:szCs w:val="19"/>
              </w:rPr>
              <w:t xml:space="preserve">Client Admin</w:t>
            </w:r>
          </w:p>
        </w:tc>
        <w:tc>
          <w:tcPr>
            <w:tcW w:type="dxa" w:w="2300"/>
            <w:shd w:fill="FFFFFF" w:val="clear"/>
            <w:tcMar>
              <w:top w:type="dxa" w:w="60"/>
              <w:left w:type="dxa" w:w="80"/>
              <w:bottom w:type="dxa" w:w="60"/>
              <w:right w:type="dxa" w:w="80"/>
            </w:tcMar>
          </w:tcPr>
          <w:p>
            <w:r>
              <w:rPr>
                <w:sz w:val="19"/>
                <w:szCs w:val="19"/>
              </w:rPr>
              <w:t xml:space="preserve">‘RO’ → ‘Relationship Officer’ or client's own title</w:t>
            </w:r>
          </w:p>
        </w:tc>
      </w:tr>
      <w:tr>
        <w:tc>
          <w:tcPr>
            <w:tcW w:type="dxa" w:w="2400"/>
            <w:shd w:fill="DCE6F1" w:val="clear"/>
            <w:tcMar>
              <w:top w:type="dxa" w:w="60"/>
              <w:left w:type="dxa" w:w="80"/>
              <w:bottom w:type="dxa" w:w="60"/>
              <w:right w:type="dxa" w:w="80"/>
            </w:tcMar>
          </w:tcPr>
          <w:p>
            <w:r>
              <w:rPr>
                <w:sz w:val="19"/>
                <w:szCs w:val="19"/>
              </w:rPr>
              <w:t xml:space="preserve">Delegated Authority Matrix</w:t>
            </w:r>
          </w:p>
        </w:tc>
        <w:tc>
          <w:tcPr>
            <w:tcW w:type="dxa" w:w="2600"/>
            <w:shd w:fill="DCE6F1" w:val="clear"/>
            <w:tcMar>
              <w:top w:type="dxa" w:w="60"/>
              <w:left w:type="dxa" w:w="80"/>
              <w:bottom w:type="dxa" w:w="60"/>
              <w:right w:type="dxa" w:w="80"/>
            </w:tcMar>
          </w:tcPr>
          <w:p>
            <w:r>
              <w:rPr>
                <w:sz w:val="19"/>
                <w:szCs w:val="19"/>
              </w:rPr>
              <w:t xml:space="preserve">Table: Amount range × Risk Rating × Secured/Unsecured × Facility Type → Committee Level</w:t>
            </w:r>
          </w:p>
        </w:tc>
        <w:tc>
          <w:tcPr>
            <w:tcW w:type="dxa" w:w="2000"/>
            <w:shd w:fill="DCE6F1" w:val="clear"/>
            <w:tcMar>
              <w:top w:type="dxa" w:w="60"/>
              <w:left w:type="dxa" w:w="80"/>
              <w:bottom w:type="dxa" w:w="60"/>
              <w:right w:type="dxa" w:w="80"/>
            </w:tcMar>
          </w:tcPr>
          <w:p>
            <w:r>
              <w:rPr>
                <w:sz w:val="19"/>
                <w:szCs w:val="19"/>
              </w:rPr>
              <w:t xml:space="preserve">Client Credit Policy Owner</w:t>
            </w:r>
          </w:p>
        </w:tc>
        <w:tc>
          <w:tcPr>
            <w:tcW w:type="dxa" w:w="2300"/>
            <w:shd w:fill="DCE6F1" w:val="clear"/>
            <w:tcMar>
              <w:top w:type="dxa" w:w="60"/>
              <w:left w:type="dxa" w:w="80"/>
              <w:bottom w:type="dxa" w:w="60"/>
              <w:right w:type="dxa" w:w="80"/>
            </w:tcMar>
          </w:tcPr>
          <w:p>
            <w:r>
              <w:rPr>
                <w:sz w:val="19"/>
                <w:szCs w:val="19"/>
              </w:rPr>
              <w:t xml:space="preserve">See Section 3.3</w:t>
            </w:r>
          </w:p>
        </w:tc>
      </w:tr>
      <w:tr>
        <w:tc>
          <w:tcPr>
            <w:tcW w:type="dxa" w:w="2400"/>
            <w:shd w:fill="FFFFFF" w:val="clear"/>
            <w:tcMar>
              <w:top w:type="dxa" w:w="60"/>
              <w:left w:type="dxa" w:w="80"/>
              <w:bottom w:type="dxa" w:w="60"/>
              <w:right w:type="dxa" w:w="80"/>
            </w:tcMar>
          </w:tcPr>
          <w:p>
            <w:r>
              <w:rPr>
                <w:sz w:val="19"/>
                <w:szCs w:val="19"/>
              </w:rPr>
              <w:t xml:space="preserve">Committee/Approval hierarchy</w:t>
            </w:r>
          </w:p>
        </w:tc>
        <w:tc>
          <w:tcPr>
            <w:tcW w:type="dxa" w:w="2600"/>
            <w:shd w:fill="FFFFFF" w:val="clear"/>
            <w:tcMar>
              <w:top w:type="dxa" w:w="60"/>
              <w:left w:type="dxa" w:w="80"/>
              <w:bottom w:type="dxa" w:w="60"/>
              <w:right w:type="dxa" w:w="80"/>
            </w:tcMar>
          </w:tcPr>
          <w:p>
            <w:r>
              <w:rPr>
                <w:sz w:val="19"/>
                <w:szCs w:val="19"/>
              </w:rPr>
              <w:t xml:space="preserve">Ordered list of levels, with names and escalation order</w:t>
            </w:r>
          </w:p>
        </w:tc>
        <w:tc>
          <w:tcPr>
            <w:tcW w:type="dxa" w:w="2000"/>
            <w:shd w:fill="FFFFFF" w:val="clear"/>
            <w:tcMar>
              <w:top w:type="dxa" w:w="60"/>
              <w:left w:type="dxa" w:w="80"/>
              <w:bottom w:type="dxa" w:w="60"/>
              <w:right w:type="dxa" w:w="80"/>
            </w:tcMar>
          </w:tcPr>
          <w:p>
            <w:r>
              <w:rPr>
                <w:sz w:val="19"/>
                <w:szCs w:val="19"/>
              </w:rPr>
              <w:t xml:space="preserve">Client Admin</w:t>
            </w:r>
          </w:p>
        </w:tc>
        <w:tc>
          <w:tcPr>
            <w:tcW w:type="dxa" w:w="2300"/>
            <w:shd w:fill="FFFFFF" w:val="clear"/>
            <w:tcMar>
              <w:top w:type="dxa" w:w="60"/>
              <w:left w:type="dxa" w:w="80"/>
              <w:bottom w:type="dxa" w:w="60"/>
              <w:right w:type="dxa" w:w="80"/>
            </w:tcMar>
          </w:tcPr>
          <w:p>
            <w:r>
              <w:rPr>
                <w:sz w:val="19"/>
                <w:szCs w:val="19"/>
              </w:rPr>
              <w:t xml:space="preserve">Level 1–4 (Section 3.3); client may have more/fewer levels</w:t>
            </w:r>
          </w:p>
        </w:tc>
      </w:tr>
      <w:tr>
        <w:tc>
          <w:tcPr>
            <w:tcW w:type="dxa" w:w="2400"/>
            <w:shd w:fill="DCE6F1" w:val="clear"/>
            <w:tcMar>
              <w:top w:type="dxa" w:w="60"/>
              <w:left w:type="dxa" w:w="80"/>
              <w:bottom w:type="dxa" w:w="60"/>
              <w:right w:type="dxa" w:w="80"/>
            </w:tcMar>
          </w:tcPr>
          <w:p>
            <w:r>
              <w:rPr>
                <w:sz w:val="19"/>
                <w:szCs w:val="19"/>
              </w:rPr>
              <w:t xml:space="preserve">Connected-party routing override</w:t>
            </w:r>
          </w:p>
        </w:tc>
        <w:tc>
          <w:tcPr>
            <w:tcW w:type="dxa" w:w="2600"/>
            <w:shd w:fill="DCE6F1" w:val="clear"/>
            <w:tcMar>
              <w:top w:type="dxa" w:w="60"/>
              <w:left w:type="dxa" w:w="80"/>
              <w:bottom w:type="dxa" w:w="60"/>
              <w:right w:type="dxa" w:w="80"/>
            </w:tcMar>
          </w:tcPr>
          <w:p>
            <w:r>
              <w:rPr>
                <w:sz w:val="19"/>
                <w:szCs w:val="19"/>
              </w:rPr>
              <w:t xml:space="preserve">Boolean rule: force highest committee level regardless of amount</w:t>
            </w:r>
          </w:p>
        </w:tc>
        <w:tc>
          <w:tcPr>
            <w:tcW w:type="dxa" w:w="2000"/>
            <w:shd w:fill="DCE6F1" w:val="clear"/>
            <w:tcMar>
              <w:top w:type="dxa" w:w="60"/>
              <w:left w:type="dxa" w:w="80"/>
              <w:bottom w:type="dxa" w:w="60"/>
              <w:right w:type="dxa" w:w="80"/>
            </w:tcMar>
          </w:tcPr>
          <w:p>
            <w:r>
              <w:rPr>
                <w:sz w:val="19"/>
                <w:szCs w:val="19"/>
              </w:rPr>
              <w:t xml:space="preserve">Client Credit Policy Owner</w:t>
            </w:r>
          </w:p>
        </w:tc>
        <w:tc>
          <w:tcPr>
            <w:tcW w:type="dxa" w:w="2300"/>
            <w:shd w:fill="DCE6F1" w:val="clear"/>
            <w:tcMar>
              <w:top w:type="dxa" w:w="60"/>
              <w:left w:type="dxa" w:w="80"/>
              <w:bottom w:type="dxa" w:w="60"/>
              <w:right w:type="dxa" w:w="80"/>
            </w:tcMar>
          </w:tcPr>
          <w:p>
            <w:r>
              <w:rPr>
                <w:sz w:val="19"/>
                <w:szCs w:val="19"/>
              </w:rPr>
              <w:t xml:space="preserve">On by default, per Section 3.3 note</w:t>
            </w:r>
          </w:p>
        </w:tc>
      </w:tr>
    </w:tbl>
    <w:p>
      <w:pPr>
        <w:pStyle w:val="Heading2"/>
        <w:keepNext/>
        <w:spacing w:after="140" w:before="320"/>
      </w:pPr>
      <w:r>
        <w:rPr>
          <w:b/>
          <w:bCs/>
          <w:color w:val="2E5496"/>
          <w:sz w:val="26"/>
          <w:szCs w:val="26"/>
        </w:rPr>
        <w:t xml:space="preserve">18.2 Product &amp; Facility Configuration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000"/>
        <w:gridCol w:w="2100"/>
      </w:tblGrid>
      <w:tr>
        <w:trPr>
          <w:tblHeader/>
        </w:trPr>
        <w:tc>
          <w:tcPr>
            <w:tcW w:type="dxa" w:w="2400"/>
            <w:shd w:fill="1F3864" w:val="clear"/>
            <w:tcMar>
              <w:top w:type="dxa" w:w="60"/>
              <w:left w:type="dxa" w:w="80"/>
              <w:bottom w:type="dxa" w:w="60"/>
              <w:right w:type="dxa" w:w="80"/>
            </w:tcMar>
          </w:tcPr>
          <w:p>
            <w:r>
              <w:rPr>
                <w:b/>
                <w:bCs/>
                <w:color w:val="FFFFFF"/>
                <w:sz w:val="19"/>
                <w:szCs w:val="19"/>
              </w:rPr>
              <w:t xml:space="preserve">Configuration Item</w:t>
            </w:r>
          </w:p>
        </w:tc>
        <w:tc>
          <w:tcPr>
            <w:tcW w:type="dxa" w:w="2800"/>
            <w:shd w:fill="1F3864" w:val="clear"/>
            <w:tcMar>
              <w:top w:type="dxa" w:w="60"/>
              <w:left w:type="dxa" w:w="80"/>
              <w:bottom w:type="dxa" w:w="60"/>
              <w:right w:type="dxa" w:w="80"/>
            </w:tcMar>
          </w:tcPr>
          <w:p>
            <w:r>
              <w:rPr>
                <w:b/>
                <w:bCs/>
                <w:color w:val="FFFFFF"/>
                <w:sz w:val="19"/>
                <w:szCs w:val="19"/>
              </w:rPr>
              <w:t xml:space="preserve">Type / Format</w:t>
            </w:r>
          </w:p>
        </w:tc>
        <w:tc>
          <w:tcPr>
            <w:tcW w:type="dxa" w:w="2000"/>
            <w:shd w:fill="1F3864" w:val="clear"/>
            <w:tcMar>
              <w:top w:type="dxa" w:w="60"/>
              <w:left w:type="dxa" w:w="80"/>
              <w:bottom w:type="dxa" w:w="60"/>
              <w:right w:type="dxa" w:w="80"/>
            </w:tcMar>
          </w:tcPr>
          <w:p>
            <w:r>
              <w:rPr>
                <w:b/>
                <w:bCs/>
                <w:color w:val="FFFFFF"/>
                <w:sz w:val="19"/>
                <w:szCs w:val="19"/>
              </w:rPr>
              <w:t xml:space="preserve">Set By</w:t>
            </w:r>
          </w:p>
        </w:tc>
        <w:tc>
          <w:tcPr>
            <w:tcW w:type="dxa" w:w="2100"/>
            <w:shd w:fill="1F3864" w:val="clear"/>
            <w:tcMar>
              <w:top w:type="dxa" w:w="60"/>
              <w:left w:type="dxa" w:w="80"/>
              <w:bottom w:type="dxa" w:w="60"/>
              <w:right w:type="dxa" w:w="80"/>
            </w:tcMar>
          </w:tcPr>
          <w:p>
            <w:r>
              <w:rPr>
                <w:b/>
                <w:bCs/>
                <w:color w:val="FFFFFF"/>
                <w:sz w:val="19"/>
                <w:szCs w:val="19"/>
              </w:rPr>
              <w:t xml:space="preserve">Example / Reference</w:t>
            </w:r>
          </w:p>
        </w:tc>
      </w:tr>
      <w:tr>
        <w:tc>
          <w:tcPr>
            <w:tcW w:type="dxa" w:w="2400"/>
            <w:shd w:fill="FFFFFF" w:val="clear"/>
            <w:tcMar>
              <w:top w:type="dxa" w:w="60"/>
              <w:left w:type="dxa" w:w="80"/>
              <w:bottom w:type="dxa" w:w="60"/>
              <w:right w:type="dxa" w:w="80"/>
            </w:tcMar>
          </w:tcPr>
          <w:p>
            <w:r>
              <w:rPr>
                <w:sz w:val="19"/>
                <w:szCs w:val="19"/>
              </w:rPr>
              <w:t xml:space="preserve">Facility Type Catalog</w:t>
            </w:r>
          </w:p>
        </w:tc>
        <w:tc>
          <w:tcPr>
            <w:tcW w:type="dxa" w:w="2800"/>
            <w:shd w:fill="FFFFFF" w:val="clear"/>
            <w:tcMar>
              <w:top w:type="dxa" w:w="60"/>
              <w:left w:type="dxa" w:w="80"/>
              <w:bottom w:type="dxa" w:w="60"/>
              <w:right w:type="dxa" w:w="80"/>
            </w:tcMar>
          </w:tcPr>
          <w:p>
            <w:r>
              <w:rPr>
                <w:sz w:val="19"/>
                <w:szCs w:val="19"/>
              </w:rPr>
              <w:t xml:space="preserve">Table per Section 5.1 (Name, Code, Fund/Non-Fund, Fixed/Revolving, Repayment Default, Tenor Range)</w:t>
            </w:r>
          </w:p>
        </w:tc>
        <w:tc>
          <w:tcPr>
            <w:tcW w:type="dxa" w:w="2000"/>
            <w:shd w:fill="FFFFFF" w:val="clear"/>
            <w:tcMar>
              <w:top w:type="dxa" w:w="60"/>
              <w:left w:type="dxa" w:w="80"/>
              <w:bottom w:type="dxa" w:w="60"/>
              <w:right w:type="dxa" w:w="80"/>
            </w:tcMar>
          </w:tcPr>
          <w:p>
            <w:r>
              <w:rPr>
                <w:sz w:val="19"/>
                <w:szCs w:val="19"/>
              </w:rPr>
              <w:t xml:space="preserve">Client Product Owner</w:t>
            </w:r>
          </w:p>
        </w:tc>
        <w:tc>
          <w:tcPr>
            <w:tcW w:type="dxa" w:w="2100"/>
            <w:shd w:fill="FFFFFF" w:val="clear"/>
            <w:tcMar>
              <w:top w:type="dxa" w:w="60"/>
              <w:left w:type="dxa" w:w="80"/>
              <w:bottom w:type="dxa" w:w="60"/>
              <w:right w:type="dxa" w:w="80"/>
            </w:tcMar>
          </w:tcPr>
          <w:p>
            <w:r>
              <w:rPr>
                <w:sz w:val="19"/>
                <w:szCs w:val="19"/>
              </w:rPr>
              <w:t xml:space="preserve">Every entry MUST have Fixed/Revolving populated — see Appendix C lesson</w:t>
            </w:r>
          </w:p>
        </w:tc>
      </w:tr>
      <w:tr>
        <w:tc>
          <w:tcPr>
            <w:tcW w:type="dxa" w:w="2400"/>
            <w:shd w:fill="DCE6F1" w:val="clear"/>
            <w:tcMar>
              <w:top w:type="dxa" w:w="60"/>
              <w:left w:type="dxa" w:w="80"/>
              <w:bottom w:type="dxa" w:w="60"/>
              <w:right w:type="dxa" w:w="80"/>
            </w:tcMar>
          </w:tcPr>
          <w:p>
            <w:r>
              <w:rPr>
                <w:sz w:val="19"/>
                <w:szCs w:val="19"/>
              </w:rPr>
              <w:t xml:space="preserve">Repayment structure default rule</w:t>
            </w:r>
          </w:p>
        </w:tc>
        <w:tc>
          <w:tcPr>
            <w:tcW w:type="dxa" w:w="2800"/>
            <w:shd w:fill="DCE6F1" w:val="clear"/>
            <w:tcMar>
              <w:top w:type="dxa" w:w="60"/>
              <w:left w:type="dxa" w:w="80"/>
              <w:bottom w:type="dxa" w:w="60"/>
              <w:right w:type="dxa" w:w="80"/>
            </w:tcMar>
          </w:tcPr>
          <w:p>
            <w:r>
              <w:rPr>
                <w:sz w:val="19"/>
                <w:szCs w:val="19"/>
              </w:rPr>
              <w:t xml:space="preserve">Mapping: Fixed → Amortized, Revolving → Bullet (overridable)</w:t>
            </w:r>
          </w:p>
        </w:tc>
        <w:tc>
          <w:tcPr>
            <w:tcW w:type="dxa" w:w="2000"/>
            <w:shd w:fill="DCE6F1" w:val="clear"/>
            <w:tcMar>
              <w:top w:type="dxa" w:w="60"/>
              <w:left w:type="dxa" w:w="80"/>
              <w:bottom w:type="dxa" w:w="60"/>
              <w:right w:type="dxa" w:w="80"/>
            </w:tcMar>
          </w:tcPr>
          <w:p>
            <w:r>
              <w:rPr>
                <w:sz w:val="19"/>
                <w:szCs w:val="19"/>
              </w:rPr>
              <w:t xml:space="preserve">Client Product Owner</w:t>
            </w:r>
          </w:p>
        </w:tc>
        <w:tc>
          <w:tcPr>
            <w:tcW w:type="dxa" w:w="2100"/>
            <w:shd w:fill="DCE6F1" w:val="clear"/>
            <w:tcMar>
              <w:top w:type="dxa" w:w="60"/>
              <w:left w:type="dxa" w:w="80"/>
              <w:bottom w:type="dxa" w:w="60"/>
              <w:right w:type="dxa" w:w="80"/>
            </w:tcMar>
          </w:tcPr>
          <w:p>
            <w:r>
              <w:rPr>
                <w:sz w:val="19"/>
                <w:szCs w:val="19"/>
              </w:rPr>
              <w:t xml:space="preserve">Section 5.2</w:t>
            </w:r>
          </w:p>
        </w:tc>
      </w:tr>
      <w:tr>
        <w:tc>
          <w:tcPr>
            <w:tcW w:type="dxa" w:w="2400"/>
            <w:shd w:fill="FFFFFF" w:val="clear"/>
            <w:tcMar>
              <w:top w:type="dxa" w:w="60"/>
              <w:left w:type="dxa" w:w="80"/>
              <w:bottom w:type="dxa" w:w="60"/>
              <w:right w:type="dxa" w:w="80"/>
            </w:tcMar>
          </w:tcPr>
          <w:p>
            <w:r>
              <w:rPr>
                <w:sz w:val="19"/>
                <w:szCs w:val="19"/>
              </w:rPr>
              <w:t xml:space="preserve">Request Type Catalog</w:t>
            </w:r>
          </w:p>
        </w:tc>
        <w:tc>
          <w:tcPr>
            <w:tcW w:type="dxa" w:w="2800"/>
            <w:shd w:fill="FFFFFF" w:val="clear"/>
            <w:tcMar>
              <w:top w:type="dxa" w:w="60"/>
              <w:left w:type="dxa" w:w="80"/>
              <w:bottom w:type="dxa" w:w="60"/>
              <w:right w:type="dxa" w:w="80"/>
            </w:tcMar>
          </w:tcPr>
          <w:p>
            <w:r>
              <w:rPr>
                <w:sz w:val="19"/>
                <w:szCs w:val="19"/>
              </w:rPr>
              <w:t xml:space="preserve">Table per Section 3.2 (Name, Main/Child, stage sequence)</w:t>
            </w:r>
          </w:p>
        </w:tc>
        <w:tc>
          <w:tcPr>
            <w:tcW w:type="dxa" w:w="2000"/>
            <w:shd w:fill="FFFFFF" w:val="clear"/>
            <w:tcMar>
              <w:top w:type="dxa" w:w="60"/>
              <w:left w:type="dxa" w:w="80"/>
              <w:bottom w:type="dxa" w:w="60"/>
              <w:right w:type="dxa" w:w="80"/>
            </w:tcMar>
          </w:tcPr>
          <w:p>
            <w:r>
              <w:rPr>
                <w:sz w:val="19"/>
                <w:szCs w:val="19"/>
              </w:rPr>
              <w:t xml:space="preserve">Client Implementation Team</w:t>
            </w:r>
          </w:p>
        </w:tc>
        <w:tc>
          <w:tcPr>
            <w:tcW w:type="dxa" w:w="2100"/>
            <w:shd w:fill="FFFFFF" w:val="clear"/>
            <w:tcMar>
              <w:top w:type="dxa" w:w="60"/>
              <w:left w:type="dxa" w:w="80"/>
              <w:bottom w:type="dxa" w:w="60"/>
              <w:right w:type="dxa" w:w="80"/>
            </w:tcMar>
          </w:tcPr>
          <w:p>
            <w:r>
              <w:rPr>
                <w:sz w:val="19"/>
                <w:szCs w:val="19"/>
              </w:rPr>
              <w:t xml:space="preserve">Section 3.2 starter catalog</w:t>
            </w:r>
          </w:p>
        </w:tc>
      </w:tr>
      <w:tr>
        <w:tc>
          <w:tcPr>
            <w:tcW w:type="dxa" w:w="2400"/>
            <w:shd w:fill="DCE6F1" w:val="clear"/>
            <w:tcMar>
              <w:top w:type="dxa" w:w="60"/>
              <w:left w:type="dxa" w:w="80"/>
              <w:bottom w:type="dxa" w:w="60"/>
              <w:right w:type="dxa" w:w="80"/>
            </w:tcMar>
          </w:tcPr>
          <w:p>
            <w:r>
              <w:rPr>
                <w:sz w:val="19"/>
                <w:szCs w:val="19"/>
              </w:rPr>
              <w:t xml:space="preserve">Workflow stage definitions</w:t>
            </w:r>
          </w:p>
        </w:tc>
        <w:tc>
          <w:tcPr>
            <w:tcW w:type="dxa" w:w="2800"/>
            <w:shd w:fill="DCE6F1" w:val="clear"/>
            <w:tcMar>
              <w:top w:type="dxa" w:w="60"/>
              <w:left w:type="dxa" w:w="80"/>
              <w:bottom w:type="dxa" w:w="60"/>
              <w:right w:type="dxa" w:w="80"/>
            </w:tcMar>
          </w:tcPr>
          <w:p>
            <w:r>
              <w:rPr>
                <w:sz w:val="19"/>
                <w:szCs w:val="19"/>
              </w:rPr>
              <w:t xml:space="preserve">Named, glossary-defined units (never bare codes)</w:t>
            </w:r>
          </w:p>
        </w:tc>
        <w:tc>
          <w:tcPr>
            <w:tcW w:type="dxa" w:w="2000"/>
            <w:shd w:fill="DCE6F1" w:val="clear"/>
            <w:tcMar>
              <w:top w:type="dxa" w:w="60"/>
              <w:left w:type="dxa" w:w="80"/>
              <w:bottom w:type="dxa" w:w="60"/>
              <w:right w:type="dxa" w:w="80"/>
            </w:tcMar>
          </w:tcPr>
          <w:p>
            <w:r>
              <w:rPr>
                <w:sz w:val="19"/>
                <w:szCs w:val="19"/>
              </w:rPr>
              <w:t xml:space="preserve">Client Implementation Team + Solution Architect</w:t>
            </w:r>
          </w:p>
        </w:tc>
        <w:tc>
          <w:tcPr>
            <w:tcW w:type="dxa" w:w="2100"/>
            <w:shd w:fill="DCE6F1" w:val="clear"/>
            <w:tcMar>
              <w:top w:type="dxa" w:w="60"/>
              <w:left w:type="dxa" w:w="80"/>
              <w:bottom w:type="dxa" w:w="60"/>
              <w:right w:type="dxa" w:w="80"/>
            </w:tcMar>
          </w:tcPr>
          <w:p>
            <w:r>
              <w:rPr>
                <w:sz w:val="19"/>
                <w:szCs w:val="19"/>
              </w:rPr>
              <w:t xml:space="preserve">Section 3.2 note; Appendix A</w:t>
            </w:r>
          </w:p>
        </w:tc>
      </w:tr>
      <w:tr>
        <w:tc>
          <w:tcPr>
            <w:tcW w:type="dxa" w:w="2400"/>
            <w:shd w:fill="FFFFFF" w:val="clear"/>
            <w:tcMar>
              <w:top w:type="dxa" w:w="60"/>
              <w:left w:type="dxa" w:w="80"/>
              <w:bottom w:type="dxa" w:w="60"/>
              <w:right w:type="dxa" w:w="80"/>
            </w:tcMar>
          </w:tcPr>
          <w:p>
            <w:r>
              <w:rPr>
                <w:sz w:val="19"/>
                <w:szCs w:val="19"/>
              </w:rPr>
              <w:t xml:space="preserve">SLA per workflow stage</w:t>
            </w:r>
          </w:p>
        </w:tc>
        <w:tc>
          <w:tcPr>
            <w:tcW w:type="dxa" w:w="2800"/>
            <w:shd w:fill="FFFFFF" w:val="clear"/>
            <w:tcMar>
              <w:top w:type="dxa" w:w="60"/>
              <w:left w:type="dxa" w:w="80"/>
              <w:bottom w:type="dxa" w:w="60"/>
              <w:right w:type="dxa" w:w="80"/>
            </w:tcMar>
          </w:tcPr>
          <w:p>
            <w:r>
              <w:rPr>
                <w:sz w:val="19"/>
                <w:szCs w:val="19"/>
              </w:rPr>
              <w:t xml:space="preserve">Duration + breach escalation rule</w:t>
            </w:r>
          </w:p>
        </w:tc>
        <w:tc>
          <w:tcPr>
            <w:tcW w:type="dxa" w:w="2000"/>
            <w:shd w:fill="FFFFFF" w:val="clear"/>
            <w:tcMar>
              <w:top w:type="dxa" w:w="60"/>
              <w:left w:type="dxa" w:w="80"/>
              <w:bottom w:type="dxa" w:w="60"/>
              <w:right w:type="dxa" w:w="80"/>
            </w:tcMar>
          </w:tcPr>
          <w:p>
            <w:r>
              <w:rPr>
                <w:sz w:val="19"/>
                <w:szCs w:val="19"/>
              </w:rPr>
              <w:t xml:space="preserve">Client Operations Owner</w:t>
            </w:r>
          </w:p>
        </w:tc>
        <w:tc>
          <w:tcPr>
            <w:tcW w:type="dxa" w:w="2100"/>
            <w:shd w:fill="FFFFFF" w:val="clear"/>
            <w:tcMar>
              <w:top w:type="dxa" w:w="60"/>
              <w:left w:type="dxa" w:w="80"/>
              <w:bottom w:type="dxa" w:w="60"/>
              <w:right w:type="dxa" w:w="80"/>
            </w:tcMar>
          </w:tcPr>
          <w:p>
            <w:r>
              <w:rPr>
                <w:sz w:val="19"/>
                <w:szCs w:val="19"/>
              </w:rPr>
              <w:t xml:space="preserve">Section 12</w:t>
            </w:r>
          </w:p>
        </w:tc>
      </w:tr>
      <w:tr>
        <w:tc>
          <w:tcPr>
            <w:tcW w:type="dxa" w:w="2400"/>
            <w:shd w:fill="DCE6F1" w:val="clear"/>
            <w:tcMar>
              <w:top w:type="dxa" w:w="60"/>
              <w:left w:type="dxa" w:w="80"/>
              <w:bottom w:type="dxa" w:w="60"/>
              <w:right w:type="dxa" w:w="80"/>
            </w:tcMar>
          </w:tcPr>
          <w:p>
            <w:r>
              <w:rPr>
                <w:sz w:val="19"/>
                <w:szCs w:val="19"/>
              </w:rPr>
              <w:t xml:space="preserve">Request Number Generation Scheme</w:t>
            </w:r>
          </w:p>
        </w:tc>
        <w:tc>
          <w:tcPr>
            <w:tcW w:type="dxa" w:w="2800"/>
            <w:shd w:fill="DCE6F1" w:val="clear"/>
            <w:tcMar>
              <w:top w:type="dxa" w:w="60"/>
              <w:left w:type="dxa" w:w="80"/>
              <w:bottom w:type="dxa" w:w="60"/>
              <w:right w:type="dxa" w:w="80"/>
            </w:tcMar>
          </w:tcPr>
          <w:p>
            <w:r>
              <w:rPr>
                <w:sz w:val="19"/>
                <w:szCs w:val="19"/>
              </w:rPr>
              <w:t xml:space="preserve">Prefix, sequence scope, reset cadence, padding, separator</w:t>
            </w:r>
          </w:p>
        </w:tc>
        <w:tc>
          <w:tcPr>
            <w:tcW w:type="dxa" w:w="2000"/>
            <w:shd w:fill="DCE6F1" w:val="clear"/>
            <w:tcMar>
              <w:top w:type="dxa" w:w="60"/>
              <w:left w:type="dxa" w:w="80"/>
              <w:bottom w:type="dxa" w:w="60"/>
              <w:right w:type="dxa" w:w="80"/>
            </w:tcMar>
          </w:tcPr>
          <w:p>
            <w:r>
              <w:rPr>
                <w:sz w:val="19"/>
                <w:szCs w:val="19"/>
              </w:rPr>
              <w:t xml:space="preserve">Client Implementation Team</w:t>
            </w:r>
          </w:p>
        </w:tc>
        <w:tc>
          <w:tcPr>
            <w:tcW w:type="dxa" w:w="2100"/>
            <w:shd w:fill="DCE6F1" w:val="clear"/>
            <w:tcMar>
              <w:top w:type="dxa" w:w="60"/>
              <w:left w:type="dxa" w:w="80"/>
              <w:bottom w:type="dxa" w:w="60"/>
              <w:right w:type="dxa" w:w="80"/>
            </w:tcMar>
          </w:tcPr>
          <w:p>
            <w:r>
              <w:rPr>
                <w:sz w:val="19"/>
                <w:szCs w:val="19"/>
              </w:rPr>
              <w:t xml:space="preserve">Section 19.1 — set once per tenant at onboarding</w:t>
            </w:r>
          </w:p>
        </w:tc>
      </w:tr>
    </w:tbl>
    <w:p>
      <w:pPr>
        <w:pStyle w:val="Heading2"/>
        <w:keepNext/>
        <w:spacing w:after="140" w:before="320"/>
      </w:pPr>
      <w:r>
        <w:rPr>
          <w:b/>
          <w:bCs/>
          <w:color w:val="2E5496"/>
          <w:sz w:val="26"/>
          <w:szCs w:val="26"/>
        </w:rPr>
        <w:t xml:space="preserve">18.3 Regulatory &amp; Risk Configuration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200"/>
        <w:gridCol w:w="2100"/>
      </w:tblGrid>
      <w:tr>
        <w:trPr>
          <w:tblHeader/>
        </w:trPr>
        <w:tc>
          <w:tcPr>
            <w:tcW w:type="dxa" w:w="2600"/>
            <w:shd w:fill="1F3864" w:val="clear"/>
            <w:tcMar>
              <w:top w:type="dxa" w:w="60"/>
              <w:left w:type="dxa" w:w="80"/>
              <w:bottom w:type="dxa" w:w="60"/>
              <w:right w:type="dxa" w:w="80"/>
            </w:tcMar>
          </w:tcPr>
          <w:p>
            <w:r>
              <w:rPr>
                <w:b/>
                <w:bCs/>
                <w:color w:val="FFFFFF"/>
                <w:sz w:val="19"/>
                <w:szCs w:val="19"/>
              </w:rPr>
              <w:t xml:space="preserve">Configuration Item</w:t>
            </w:r>
          </w:p>
        </w:tc>
        <w:tc>
          <w:tcPr>
            <w:tcW w:type="dxa" w:w="2400"/>
            <w:shd w:fill="1F3864" w:val="clear"/>
            <w:tcMar>
              <w:top w:type="dxa" w:w="60"/>
              <w:left w:type="dxa" w:w="80"/>
              <w:bottom w:type="dxa" w:w="60"/>
              <w:right w:type="dxa" w:w="80"/>
            </w:tcMar>
          </w:tcPr>
          <w:p>
            <w:r>
              <w:rPr>
                <w:b/>
                <w:bCs/>
                <w:color w:val="FFFFFF"/>
                <w:sz w:val="19"/>
                <w:szCs w:val="19"/>
              </w:rPr>
              <w:t xml:space="preserve">Type / Format</w:t>
            </w:r>
          </w:p>
        </w:tc>
        <w:tc>
          <w:tcPr>
            <w:tcW w:type="dxa" w:w="2200"/>
            <w:shd w:fill="1F3864" w:val="clear"/>
            <w:tcMar>
              <w:top w:type="dxa" w:w="60"/>
              <w:left w:type="dxa" w:w="80"/>
              <w:bottom w:type="dxa" w:w="60"/>
              <w:right w:type="dxa" w:w="80"/>
            </w:tcMar>
          </w:tcPr>
          <w:p>
            <w:r>
              <w:rPr>
                <w:b/>
                <w:bCs/>
                <w:color w:val="FFFFFF"/>
                <w:sz w:val="19"/>
                <w:szCs w:val="19"/>
              </w:rPr>
              <w:t xml:space="preserve">Set By</w:t>
            </w:r>
          </w:p>
        </w:tc>
        <w:tc>
          <w:tcPr>
            <w:tcW w:type="dxa" w:w="2100"/>
            <w:shd w:fill="1F3864" w:val="clear"/>
            <w:tcMar>
              <w:top w:type="dxa" w:w="60"/>
              <w:left w:type="dxa" w:w="80"/>
              <w:bottom w:type="dxa" w:w="60"/>
              <w:right w:type="dxa" w:w="80"/>
            </w:tcMar>
          </w:tcPr>
          <w:p>
            <w:r>
              <w:rPr>
                <w:b/>
                <w:bCs/>
                <w:color w:val="FFFFFF"/>
                <w:sz w:val="19"/>
                <w:szCs w:val="19"/>
              </w:rPr>
              <w:t xml:space="preserve">Example / Reference</w:t>
            </w:r>
          </w:p>
        </w:tc>
      </w:tr>
      <w:tr>
        <w:tc>
          <w:tcPr>
            <w:tcW w:type="dxa" w:w="2600"/>
            <w:shd w:fill="FFFFFF" w:val="clear"/>
            <w:tcMar>
              <w:top w:type="dxa" w:w="60"/>
              <w:left w:type="dxa" w:w="80"/>
              <w:bottom w:type="dxa" w:w="60"/>
              <w:right w:type="dxa" w:w="80"/>
            </w:tcMar>
          </w:tcPr>
          <w:p>
            <w:r>
              <w:rPr>
                <w:sz w:val="19"/>
                <w:szCs w:val="19"/>
              </w:rPr>
              <w:t xml:space="preserve">Single Obligor Limit</w:t>
            </w:r>
          </w:p>
        </w:tc>
        <w:tc>
          <w:tcPr>
            <w:tcW w:type="dxa" w:w="2400"/>
            <w:shd w:fill="FFFFFF" w:val="clear"/>
            <w:tcMar>
              <w:top w:type="dxa" w:w="60"/>
              <w:left w:type="dxa" w:w="80"/>
              <w:bottom w:type="dxa" w:w="60"/>
              <w:right w:type="dxa" w:w="80"/>
            </w:tcMar>
          </w:tcPr>
          <w:p>
            <w:r>
              <w:rPr>
                <w:sz w:val="19"/>
                <w:szCs w:val="19"/>
              </w:rPr>
              <w:t xml:space="preserve">% of capital base</w:t>
            </w:r>
          </w:p>
        </w:tc>
        <w:tc>
          <w:tcPr>
            <w:tcW w:type="dxa" w:w="2200"/>
            <w:shd w:fill="FFFFFF" w:val="clear"/>
            <w:tcMar>
              <w:top w:type="dxa" w:w="60"/>
              <w:left w:type="dxa" w:w="80"/>
              <w:bottom w:type="dxa" w:w="60"/>
              <w:right w:type="dxa" w:w="80"/>
            </w:tcMar>
          </w:tcPr>
          <w:p>
            <w:r>
              <w:rPr>
                <w:sz w:val="19"/>
                <w:szCs w:val="19"/>
              </w:rPr>
              <w:t xml:space="preserve">Client Compliance Owner</w:t>
            </w:r>
          </w:p>
        </w:tc>
        <w:tc>
          <w:tcPr>
            <w:tcW w:type="dxa" w:w="2100"/>
            <w:shd w:fill="FFFFFF" w:val="clear"/>
            <w:tcMar>
              <w:top w:type="dxa" w:w="60"/>
              <w:left w:type="dxa" w:w="80"/>
              <w:bottom w:type="dxa" w:w="60"/>
              <w:right w:type="dxa" w:w="80"/>
            </w:tcMar>
          </w:tcPr>
          <w:p>
            <w:r>
              <w:rPr>
                <w:sz w:val="19"/>
                <w:szCs w:val="19"/>
              </w:rPr>
              <w:t xml:space="preserve">Section 9 — illustrative 15%, jurisdiction-specific</w:t>
            </w:r>
          </w:p>
        </w:tc>
      </w:tr>
      <w:tr>
        <w:tc>
          <w:tcPr>
            <w:tcW w:type="dxa" w:w="2600"/>
            <w:shd w:fill="DCE6F1" w:val="clear"/>
            <w:tcMar>
              <w:top w:type="dxa" w:w="60"/>
              <w:left w:type="dxa" w:w="80"/>
              <w:bottom w:type="dxa" w:w="60"/>
              <w:right w:type="dxa" w:w="80"/>
            </w:tcMar>
          </w:tcPr>
          <w:p>
            <w:r>
              <w:rPr>
                <w:sz w:val="19"/>
                <w:szCs w:val="19"/>
              </w:rPr>
              <w:t xml:space="preserve">Large Exposure Reporting Threshold</w:t>
            </w:r>
          </w:p>
        </w:tc>
        <w:tc>
          <w:tcPr>
            <w:tcW w:type="dxa" w:w="2400"/>
            <w:shd w:fill="DCE6F1" w:val="clear"/>
            <w:tcMar>
              <w:top w:type="dxa" w:w="60"/>
              <w:left w:type="dxa" w:w="80"/>
              <w:bottom w:type="dxa" w:w="60"/>
              <w:right w:type="dxa" w:w="80"/>
            </w:tcMar>
          </w:tcPr>
          <w:p>
            <w:r>
              <w:rPr>
                <w:sz w:val="19"/>
                <w:szCs w:val="19"/>
              </w:rPr>
              <w:t xml:space="preserve">% of capital base</w:t>
            </w:r>
          </w:p>
        </w:tc>
        <w:tc>
          <w:tcPr>
            <w:tcW w:type="dxa" w:w="2200"/>
            <w:shd w:fill="DCE6F1" w:val="clear"/>
            <w:tcMar>
              <w:top w:type="dxa" w:w="60"/>
              <w:left w:type="dxa" w:w="80"/>
              <w:bottom w:type="dxa" w:w="60"/>
              <w:right w:type="dxa" w:w="80"/>
            </w:tcMar>
          </w:tcPr>
          <w:p>
            <w:r>
              <w:rPr>
                <w:sz w:val="19"/>
                <w:szCs w:val="19"/>
              </w:rPr>
              <w:t xml:space="preserve">Client Compliance Owner</w:t>
            </w:r>
          </w:p>
        </w:tc>
        <w:tc>
          <w:tcPr>
            <w:tcW w:type="dxa" w:w="2100"/>
            <w:shd w:fill="DCE6F1" w:val="clear"/>
            <w:tcMar>
              <w:top w:type="dxa" w:w="60"/>
              <w:left w:type="dxa" w:w="80"/>
              <w:bottom w:type="dxa" w:w="60"/>
              <w:right w:type="dxa" w:w="80"/>
            </w:tcMar>
          </w:tcPr>
          <w:p>
            <w:r>
              <w:rPr>
                <w:sz w:val="19"/>
                <w:szCs w:val="19"/>
              </w:rPr>
              <w:t xml:space="preserve">Section 9 — illustrative 10%</w:t>
            </w:r>
          </w:p>
        </w:tc>
      </w:tr>
      <w:tr>
        <w:tc>
          <w:tcPr>
            <w:tcW w:type="dxa" w:w="2600"/>
            <w:shd w:fill="FFFFFF" w:val="clear"/>
            <w:tcMar>
              <w:top w:type="dxa" w:w="60"/>
              <w:left w:type="dxa" w:w="80"/>
              <w:bottom w:type="dxa" w:w="60"/>
              <w:right w:type="dxa" w:w="80"/>
            </w:tcMar>
          </w:tcPr>
          <w:p>
            <w:r>
              <w:rPr>
                <w:sz w:val="19"/>
                <w:szCs w:val="19"/>
              </w:rPr>
              <w:t xml:space="preserve">Aggregate Large Exposure Ceiling</w:t>
            </w:r>
          </w:p>
        </w:tc>
        <w:tc>
          <w:tcPr>
            <w:tcW w:type="dxa" w:w="2400"/>
            <w:shd w:fill="FFFFFF" w:val="clear"/>
            <w:tcMar>
              <w:top w:type="dxa" w:w="60"/>
              <w:left w:type="dxa" w:w="80"/>
              <w:bottom w:type="dxa" w:w="60"/>
              <w:right w:type="dxa" w:w="80"/>
            </w:tcMar>
          </w:tcPr>
          <w:p>
            <w:r>
              <w:rPr>
                <w:sz w:val="19"/>
                <w:szCs w:val="19"/>
              </w:rPr>
              <w:t xml:space="preserve">Multiple of capital base</w:t>
            </w:r>
          </w:p>
        </w:tc>
        <w:tc>
          <w:tcPr>
            <w:tcW w:type="dxa" w:w="2200"/>
            <w:shd w:fill="FFFFFF" w:val="clear"/>
            <w:tcMar>
              <w:top w:type="dxa" w:w="60"/>
              <w:left w:type="dxa" w:w="80"/>
              <w:bottom w:type="dxa" w:w="60"/>
              <w:right w:type="dxa" w:w="80"/>
            </w:tcMar>
          </w:tcPr>
          <w:p>
            <w:r>
              <w:rPr>
                <w:sz w:val="19"/>
                <w:szCs w:val="19"/>
              </w:rPr>
              <w:t xml:space="preserve">Client Compliance Owner</w:t>
            </w:r>
          </w:p>
        </w:tc>
        <w:tc>
          <w:tcPr>
            <w:tcW w:type="dxa" w:w="2100"/>
            <w:shd w:fill="FFFFFF" w:val="clear"/>
            <w:tcMar>
              <w:top w:type="dxa" w:w="60"/>
              <w:left w:type="dxa" w:w="80"/>
              <w:bottom w:type="dxa" w:w="60"/>
              <w:right w:type="dxa" w:w="80"/>
            </w:tcMar>
          </w:tcPr>
          <w:p>
            <w:r>
              <w:rPr>
                <w:sz w:val="19"/>
                <w:szCs w:val="19"/>
              </w:rPr>
              <w:t xml:space="preserve">Section 9 — illustrative 4x</w:t>
            </w:r>
          </w:p>
        </w:tc>
      </w:tr>
      <w:tr>
        <w:tc>
          <w:tcPr>
            <w:tcW w:type="dxa" w:w="2600"/>
            <w:shd w:fill="DCE6F1" w:val="clear"/>
            <w:tcMar>
              <w:top w:type="dxa" w:w="60"/>
              <w:left w:type="dxa" w:w="80"/>
              <w:bottom w:type="dxa" w:w="60"/>
              <w:right w:type="dxa" w:w="80"/>
            </w:tcMar>
          </w:tcPr>
          <w:p>
            <w:r>
              <w:rPr>
                <w:sz w:val="19"/>
                <w:szCs w:val="19"/>
              </w:rPr>
              <w:t xml:space="preserve">DSCR Minimum Threshold</w:t>
            </w:r>
          </w:p>
        </w:tc>
        <w:tc>
          <w:tcPr>
            <w:tcW w:type="dxa" w:w="2400"/>
            <w:shd w:fill="DCE6F1" w:val="clear"/>
            <w:tcMar>
              <w:top w:type="dxa" w:w="60"/>
              <w:left w:type="dxa" w:w="80"/>
              <w:bottom w:type="dxa" w:w="60"/>
              <w:right w:type="dxa" w:w="80"/>
            </w:tcMar>
          </w:tcPr>
          <w:p>
            <w:r>
              <w:rPr>
                <w:sz w:val="19"/>
                <w:szCs w:val="19"/>
              </w:rPr>
              <w:t xml:space="preserve">Ratio</w:t>
            </w:r>
          </w:p>
        </w:tc>
        <w:tc>
          <w:tcPr>
            <w:tcW w:type="dxa" w:w="2200"/>
            <w:shd w:fill="DCE6F1" w:val="clear"/>
            <w:tcMar>
              <w:top w:type="dxa" w:w="60"/>
              <w:left w:type="dxa" w:w="80"/>
              <w:bottom w:type="dxa" w:w="60"/>
              <w:right w:type="dxa" w:w="80"/>
            </w:tcMar>
          </w:tcPr>
          <w:p>
            <w:r>
              <w:rPr>
                <w:sz w:val="19"/>
                <w:szCs w:val="19"/>
              </w:rPr>
              <w:t xml:space="preserve">Client Credit Policy Owner</w:t>
            </w:r>
          </w:p>
        </w:tc>
        <w:tc>
          <w:tcPr>
            <w:tcW w:type="dxa" w:w="2100"/>
            <w:shd w:fill="DCE6F1" w:val="clear"/>
            <w:tcMar>
              <w:top w:type="dxa" w:w="60"/>
              <w:left w:type="dxa" w:w="80"/>
              <w:bottom w:type="dxa" w:w="60"/>
              <w:right w:type="dxa" w:w="80"/>
            </w:tcMar>
          </w:tcPr>
          <w:p>
            <w:r>
              <w:rPr>
                <w:sz w:val="19"/>
                <w:szCs w:val="19"/>
              </w:rPr>
              <w:t xml:space="preserve">Section 9 — commonly 1.20x–1.25x, bank-specific</w:t>
            </w:r>
          </w:p>
        </w:tc>
      </w:tr>
      <w:tr>
        <w:tc>
          <w:tcPr>
            <w:tcW w:type="dxa" w:w="2600"/>
            <w:shd w:fill="FFFFFF" w:val="clear"/>
            <w:tcMar>
              <w:top w:type="dxa" w:w="60"/>
              <w:left w:type="dxa" w:w="80"/>
              <w:bottom w:type="dxa" w:w="60"/>
              <w:right w:type="dxa" w:w="80"/>
            </w:tcMar>
          </w:tcPr>
          <w:p>
            <w:r>
              <w:rPr>
                <w:sz w:val="19"/>
                <w:szCs w:val="19"/>
              </w:rPr>
              <w:t xml:space="preserve">Financial Statement Aging Limit</w:t>
            </w:r>
          </w:p>
        </w:tc>
        <w:tc>
          <w:tcPr>
            <w:tcW w:type="dxa" w:w="2400"/>
            <w:shd w:fill="FFFFFF" w:val="clear"/>
            <w:tcMar>
              <w:top w:type="dxa" w:w="60"/>
              <w:left w:type="dxa" w:w="80"/>
              <w:bottom w:type="dxa" w:w="60"/>
              <w:right w:type="dxa" w:w="80"/>
            </w:tcMar>
          </w:tcPr>
          <w:p>
            <w:r>
              <w:rPr>
                <w:sz w:val="19"/>
                <w:szCs w:val="19"/>
              </w:rPr>
              <w:t xml:space="preserve">Months since statement date</w:t>
            </w:r>
          </w:p>
        </w:tc>
        <w:tc>
          <w:tcPr>
            <w:tcW w:type="dxa" w:w="2200"/>
            <w:shd w:fill="FFFFFF" w:val="clear"/>
            <w:tcMar>
              <w:top w:type="dxa" w:w="60"/>
              <w:left w:type="dxa" w:w="80"/>
              <w:bottom w:type="dxa" w:w="60"/>
              <w:right w:type="dxa" w:w="80"/>
            </w:tcMar>
          </w:tcPr>
          <w:p>
            <w:r>
              <w:rPr>
                <w:sz w:val="19"/>
                <w:szCs w:val="19"/>
              </w:rPr>
              <w:t xml:space="preserve">Client Credit Policy Owner</w:t>
            </w:r>
          </w:p>
        </w:tc>
        <w:tc>
          <w:tcPr>
            <w:tcW w:type="dxa" w:w="2100"/>
            <w:shd w:fill="FFFFFF" w:val="clear"/>
            <w:tcMar>
              <w:top w:type="dxa" w:w="60"/>
              <w:left w:type="dxa" w:w="80"/>
              <w:bottom w:type="dxa" w:w="60"/>
              <w:right w:type="dxa" w:w="80"/>
            </w:tcMar>
          </w:tcPr>
          <w:p>
            <w:r>
              <w:rPr>
                <w:sz w:val="19"/>
                <w:szCs w:val="19"/>
              </w:rPr>
              <w:t xml:space="preserve">Section 9 — commonly 12–18 months</w:t>
            </w:r>
          </w:p>
        </w:tc>
      </w:tr>
      <w:tr>
        <w:tc>
          <w:tcPr>
            <w:tcW w:type="dxa" w:w="2600"/>
            <w:shd w:fill="DCE6F1" w:val="clear"/>
            <w:tcMar>
              <w:top w:type="dxa" w:w="60"/>
              <w:left w:type="dxa" w:w="80"/>
              <w:bottom w:type="dxa" w:w="60"/>
              <w:right w:type="dxa" w:w="80"/>
            </w:tcMar>
          </w:tcPr>
          <w:p>
            <w:r>
              <w:rPr>
                <w:sz w:val="19"/>
                <w:szCs w:val="19"/>
              </w:rPr>
              <w:t xml:space="preserve">Coverage Ratio minimum, by collateral type</w:t>
            </w:r>
          </w:p>
        </w:tc>
        <w:tc>
          <w:tcPr>
            <w:tcW w:type="dxa" w:w="2400"/>
            <w:shd w:fill="DCE6F1" w:val="clear"/>
            <w:tcMar>
              <w:top w:type="dxa" w:w="60"/>
              <w:left w:type="dxa" w:w="80"/>
              <w:bottom w:type="dxa" w:w="60"/>
              <w:right w:type="dxa" w:w="80"/>
            </w:tcMar>
          </w:tcPr>
          <w:p>
            <w:r>
              <w:rPr>
                <w:sz w:val="19"/>
                <w:szCs w:val="19"/>
              </w:rPr>
              <w:t xml:space="preserve">Percentage, per collateral type</w:t>
            </w:r>
          </w:p>
        </w:tc>
        <w:tc>
          <w:tcPr>
            <w:tcW w:type="dxa" w:w="2200"/>
            <w:shd w:fill="DCE6F1" w:val="clear"/>
            <w:tcMar>
              <w:top w:type="dxa" w:w="60"/>
              <w:left w:type="dxa" w:w="80"/>
              <w:bottom w:type="dxa" w:w="60"/>
              <w:right w:type="dxa" w:w="80"/>
            </w:tcMar>
          </w:tcPr>
          <w:p>
            <w:r>
              <w:rPr>
                <w:sz w:val="19"/>
                <w:szCs w:val="19"/>
              </w:rPr>
              <w:t xml:space="preserve">Client Credit Policy Owner</w:t>
            </w:r>
          </w:p>
        </w:tc>
        <w:tc>
          <w:tcPr>
            <w:tcW w:type="dxa" w:w="2100"/>
            <w:shd w:fill="DCE6F1" w:val="clear"/>
            <w:tcMar>
              <w:top w:type="dxa" w:w="60"/>
              <w:left w:type="dxa" w:w="80"/>
              <w:bottom w:type="dxa" w:w="60"/>
              <w:right w:type="dxa" w:w="80"/>
            </w:tcMar>
          </w:tcPr>
          <w:p>
            <w:r>
              <w:rPr>
                <w:sz w:val="19"/>
                <w:szCs w:val="19"/>
              </w:rPr>
              <w:t xml:space="preserve">Section 6.2 — e.g. real estate 60–70%, listed shares 50–65%</w:t>
            </w:r>
          </w:p>
        </w:tc>
      </w:tr>
      <w:tr>
        <w:tc>
          <w:tcPr>
            <w:tcW w:type="dxa" w:w="2600"/>
            <w:shd w:fill="FFFFFF" w:val="clear"/>
            <w:tcMar>
              <w:top w:type="dxa" w:w="60"/>
              <w:left w:type="dxa" w:w="80"/>
              <w:bottom w:type="dxa" w:w="60"/>
              <w:right w:type="dxa" w:w="80"/>
            </w:tcMar>
          </w:tcPr>
          <w:p>
            <w:r>
              <w:rPr>
                <w:sz w:val="19"/>
                <w:szCs w:val="19"/>
              </w:rPr>
              <w:t xml:space="preserve">Collateral revaluation cycle, by type</w:t>
            </w:r>
          </w:p>
        </w:tc>
        <w:tc>
          <w:tcPr>
            <w:tcW w:type="dxa" w:w="2400"/>
            <w:shd w:fill="FFFFFF" w:val="clear"/>
            <w:tcMar>
              <w:top w:type="dxa" w:w="60"/>
              <w:left w:type="dxa" w:w="80"/>
              <w:bottom w:type="dxa" w:w="60"/>
              <w:right w:type="dxa" w:w="80"/>
            </w:tcMar>
          </w:tcPr>
          <w:p>
            <w:r>
              <w:rPr>
                <w:sz w:val="19"/>
                <w:szCs w:val="19"/>
              </w:rPr>
              <w:t xml:space="preserve">Months between revaluations</w:t>
            </w:r>
          </w:p>
        </w:tc>
        <w:tc>
          <w:tcPr>
            <w:tcW w:type="dxa" w:w="2200"/>
            <w:shd w:fill="FFFFFF" w:val="clear"/>
            <w:tcMar>
              <w:top w:type="dxa" w:w="60"/>
              <w:left w:type="dxa" w:w="80"/>
              <w:bottom w:type="dxa" w:w="60"/>
              <w:right w:type="dxa" w:w="80"/>
            </w:tcMar>
          </w:tcPr>
          <w:p>
            <w:r>
              <w:rPr>
                <w:sz w:val="19"/>
                <w:szCs w:val="19"/>
              </w:rPr>
              <w:t xml:space="preserve">Client Credit Policy Owner</w:t>
            </w:r>
          </w:p>
        </w:tc>
        <w:tc>
          <w:tcPr>
            <w:tcW w:type="dxa" w:w="2100"/>
            <w:shd w:fill="FFFFFF" w:val="clear"/>
            <w:tcMar>
              <w:top w:type="dxa" w:w="60"/>
              <w:left w:type="dxa" w:w="80"/>
              <w:bottom w:type="dxa" w:w="60"/>
              <w:right w:type="dxa" w:w="80"/>
            </w:tcMar>
          </w:tcPr>
          <w:p>
            <w:r>
              <w:rPr>
                <w:sz w:val="19"/>
                <w:szCs w:val="19"/>
              </w:rPr>
              <w:t xml:space="preserve">Section 6.1 — e.g. 12 months real estate, 6 months listed securities</w:t>
            </w:r>
          </w:p>
        </w:tc>
      </w:tr>
      <w:tr>
        <w:tc>
          <w:tcPr>
            <w:tcW w:type="dxa" w:w="2600"/>
            <w:shd w:fill="DCE6F1" w:val="clear"/>
            <w:tcMar>
              <w:top w:type="dxa" w:w="60"/>
              <w:left w:type="dxa" w:w="80"/>
              <w:bottom w:type="dxa" w:w="60"/>
              <w:right w:type="dxa" w:w="80"/>
            </w:tcMar>
          </w:tcPr>
          <w:p>
            <w:r>
              <w:rPr>
                <w:sz w:val="19"/>
                <w:szCs w:val="19"/>
              </w:rPr>
              <w:t xml:space="preserve">Accept-Shortfall approval level</w:t>
            </w:r>
          </w:p>
        </w:tc>
        <w:tc>
          <w:tcPr>
            <w:tcW w:type="dxa" w:w="2400"/>
            <w:shd w:fill="DCE6F1" w:val="clear"/>
            <w:tcMar>
              <w:top w:type="dxa" w:w="60"/>
              <w:left w:type="dxa" w:w="80"/>
              <w:bottom w:type="dxa" w:w="60"/>
              <w:right w:type="dxa" w:w="80"/>
            </w:tcMar>
          </w:tcPr>
          <w:p>
            <w:r>
              <w:rPr>
                <w:sz w:val="19"/>
                <w:szCs w:val="19"/>
              </w:rPr>
              <w:t xml:space="preserve">Named approver role</w:t>
            </w:r>
          </w:p>
        </w:tc>
        <w:tc>
          <w:tcPr>
            <w:tcW w:type="dxa" w:w="2200"/>
            <w:shd w:fill="DCE6F1" w:val="clear"/>
            <w:tcMar>
              <w:top w:type="dxa" w:w="60"/>
              <w:left w:type="dxa" w:w="80"/>
              <w:bottom w:type="dxa" w:w="60"/>
              <w:right w:type="dxa" w:w="80"/>
            </w:tcMar>
          </w:tcPr>
          <w:p>
            <w:r>
              <w:rPr>
                <w:sz w:val="19"/>
                <w:szCs w:val="19"/>
              </w:rPr>
              <w:t xml:space="preserve">Client Credit Policy Owner</w:t>
            </w:r>
          </w:p>
        </w:tc>
        <w:tc>
          <w:tcPr>
            <w:tcW w:type="dxa" w:w="2100"/>
            <w:shd w:fill="DCE6F1" w:val="clear"/>
            <w:tcMar>
              <w:top w:type="dxa" w:w="60"/>
              <w:left w:type="dxa" w:w="80"/>
              <w:bottom w:type="dxa" w:w="60"/>
              <w:right w:type="dxa" w:w="80"/>
            </w:tcMar>
          </w:tcPr>
          <w:p>
            <w:r>
              <w:rPr>
                <w:sz w:val="19"/>
                <w:szCs w:val="19"/>
              </w:rPr>
              <w:t xml:space="preserve">Section 6.2</w:t>
            </w:r>
          </w:p>
        </w:tc>
      </w:tr>
    </w:tbl>
    <w:p>
      <w:pPr>
        <w:pStyle w:val="Heading2"/>
        <w:keepNext/>
        <w:spacing w:after="140" w:before="320"/>
      </w:pPr>
      <w:r>
        <w:rPr>
          <w:b/>
          <w:bCs/>
          <w:color w:val="2E5496"/>
          <w:sz w:val="26"/>
          <w:szCs w:val="26"/>
        </w:rPr>
        <w:t xml:space="preserve">18.4 Currency &amp; Locale Configuration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000"/>
        <w:gridCol w:w="2300"/>
      </w:tblGrid>
      <w:tr>
        <w:trPr>
          <w:tblHeader/>
        </w:trPr>
        <w:tc>
          <w:tcPr>
            <w:tcW w:type="dxa" w:w="2600"/>
            <w:shd w:fill="1F3864" w:val="clear"/>
            <w:tcMar>
              <w:top w:type="dxa" w:w="60"/>
              <w:left w:type="dxa" w:w="80"/>
              <w:bottom w:type="dxa" w:w="60"/>
              <w:right w:type="dxa" w:w="80"/>
            </w:tcMar>
          </w:tcPr>
          <w:p>
            <w:r>
              <w:rPr>
                <w:b/>
                <w:bCs/>
                <w:color w:val="FFFFFF"/>
                <w:sz w:val="19"/>
                <w:szCs w:val="19"/>
              </w:rPr>
              <w:t xml:space="preserve">Configuration Item</w:t>
            </w:r>
          </w:p>
        </w:tc>
        <w:tc>
          <w:tcPr>
            <w:tcW w:type="dxa" w:w="2400"/>
            <w:shd w:fill="1F3864" w:val="clear"/>
            <w:tcMar>
              <w:top w:type="dxa" w:w="60"/>
              <w:left w:type="dxa" w:w="80"/>
              <w:bottom w:type="dxa" w:w="60"/>
              <w:right w:type="dxa" w:w="80"/>
            </w:tcMar>
          </w:tcPr>
          <w:p>
            <w:r>
              <w:rPr>
                <w:b/>
                <w:bCs/>
                <w:color w:val="FFFFFF"/>
                <w:sz w:val="19"/>
                <w:szCs w:val="19"/>
              </w:rPr>
              <w:t xml:space="preserve">Type / Format</w:t>
            </w:r>
          </w:p>
        </w:tc>
        <w:tc>
          <w:tcPr>
            <w:tcW w:type="dxa" w:w="2000"/>
            <w:shd w:fill="1F3864" w:val="clear"/>
            <w:tcMar>
              <w:top w:type="dxa" w:w="60"/>
              <w:left w:type="dxa" w:w="80"/>
              <w:bottom w:type="dxa" w:w="60"/>
              <w:right w:type="dxa" w:w="80"/>
            </w:tcMar>
          </w:tcPr>
          <w:p>
            <w:r>
              <w:rPr>
                <w:b/>
                <w:bCs/>
                <w:color w:val="FFFFFF"/>
                <w:sz w:val="19"/>
                <w:szCs w:val="19"/>
              </w:rPr>
              <w:t xml:space="preserve">Set By</w:t>
            </w:r>
          </w:p>
        </w:tc>
        <w:tc>
          <w:tcPr>
            <w:tcW w:type="dxa" w:w="2300"/>
            <w:shd w:fill="1F3864" w:val="clear"/>
            <w:tcMar>
              <w:top w:type="dxa" w:w="60"/>
              <w:left w:type="dxa" w:w="80"/>
              <w:bottom w:type="dxa" w:w="60"/>
              <w:right w:type="dxa" w:w="80"/>
            </w:tcMar>
          </w:tcPr>
          <w:p>
            <w:r>
              <w:rPr>
                <w:b/>
                <w:bCs/>
                <w:color w:val="FFFFFF"/>
                <w:sz w:val="19"/>
                <w:szCs w:val="19"/>
              </w:rPr>
              <w:t xml:space="preserve">Example / Reference</w:t>
            </w:r>
          </w:p>
        </w:tc>
      </w:tr>
      <w:tr>
        <w:tc>
          <w:tcPr>
            <w:tcW w:type="dxa" w:w="2600"/>
            <w:shd w:fill="FFFFFF" w:val="clear"/>
            <w:tcMar>
              <w:top w:type="dxa" w:w="60"/>
              <w:left w:type="dxa" w:w="80"/>
              <w:bottom w:type="dxa" w:w="60"/>
              <w:right w:type="dxa" w:w="80"/>
            </w:tcMar>
          </w:tcPr>
          <w:p>
            <w:r>
              <w:rPr>
                <w:sz w:val="19"/>
                <w:szCs w:val="19"/>
              </w:rPr>
              <w:t xml:space="preserve">Base reporting currency</w:t>
            </w:r>
          </w:p>
        </w:tc>
        <w:tc>
          <w:tcPr>
            <w:tcW w:type="dxa" w:w="2400"/>
            <w:shd w:fill="FFFFFF" w:val="clear"/>
            <w:tcMar>
              <w:top w:type="dxa" w:w="60"/>
              <w:left w:type="dxa" w:w="80"/>
              <w:bottom w:type="dxa" w:w="60"/>
              <w:right w:type="dxa" w:w="80"/>
            </w:tcMar>
          </w:tcPr>
          <w:p>
            <w:r>
              <w:rPr>
                <w:sz w:val="19"/>
                <w:szCs w:val="19"/>
              </w:rPr>
              <w:t xml:space="preserve">ISO currency code</w:t>
            </w:r>
          </w:p>
        </w:tc>
        <w:tc>
          <w:tcPr>
            <w:tcW w:type="dxa" w:w="2000"/>
            <w:shd w:fill="FFFFFF" w:val="clear"/>
            <w:tcMar>
              <w:top w:type="dxa" w:w="60"/>
              <w:left w:type="dxa" w:w="80"/>
              <w:bottom w:type="dxa" w:w="60"/>
              <w:right w:type="dxa" w:w="80"/>
            </w:tcMar>
          </w:tcPr>
          <w:p>
            <w:r>
              <w:rPr>
                <w:sz w:val="19"/>
                <w:szCs w:val="19"/>
              </w:rPr>
              <w:t xml:space="preserve">Client Admin</w:t>
            </w:r>
          </w:p>
        </w:tc>
        <w:tc>
          <w:tcPr>
            <w:tcW w:type="dxa" w:w="2300"/>
            <w:shd w:fill="FFFFFF" w:val="clear"/>
            <w:tcMar>
              <w:top w:type="dxa" w:w="60"/>
              <w:left w:type="dxa" w:w="80"/>
              <w:bottom w:type="dxa" w:w="60"/>
              <w:right w:type="dxa" w:w="80"/>
            </w:tcMar>
          </w:tcPr>
          <w:p>
            <w:r>
              <w:rPr>
                <w:sz w:val="19"/>
                <w:szCs w:val="19"/>
              </w:rPr>
              <w:t xml:space="preserve">Section 12 — all aggregation/weighting normalizes to this</w:t>
            </w:r>
          </w:p>
        </w:tc>
      </w:tr>
      <w:tr>
        <w:tc>
          <w:tcPr>
            <w:tcW w:type="dxa" w:w="2600"/>
            <w:shd w:fill="DCE6F1" w:val="clear"/>
            <w:tcMar>
              <w:top w:type="dxa" w:w="60"/>
              <w:left w:type="dxa" w:w="80"/>
              <w:bottom w:type="dxa" w:w="60"/>
              <w:right w:type="dxa" w:w="80"/>
            </w:tcMar>
          </w:tcPr>
          <w:p>
            <w:r>
              <w:rPr>
                <w:sz w:val="19"/>
                <w:szCs w:val="19"/>
              </w:rPr>
              <w:t xml:space="preserve">Supported currency list</w:t>
            </w:r>
          </w:p>
        </w:tc>
        <w:tc>
          <w:tcPr>
            <w:tcW w:type="dxa" w:w="2400"/>
            <w:shd w:fill="DCE6F1" w:val="clear"/>
            <w:tcMar>
              <w:top w:type="dxa" w:w="60"/>
              <w:left w:type="dxa" w:w="80"/>
              <w:bottom w:type="dxa" w:w="60"/>
              <w:right w:type="dxa" w:w="80"/>
            </w:tcMar>
          </w:tcPr>
          <w:p>
            <w:r>
              <w:rPr>
                <w:sz w:val="19"/>
                <w:szCs w:val="19"/>
              </w:rPr>
              <w:t xml:space="preserve">List of ISO currency codes</w:t>
            </w:r>
          </w:p>
        </w:tc>
        <w:tc>
          <w:tcPr>
            <w:tcW w:type="dxa" w:w="2000"/>
            <w:shd w:fill="DCE6F1" w:val="clear"/>
            <w:tcMar>
              <w:top w:type="dxa" w:w="60"/>
              <w:left w:type="dxa" w:w="80"/>
              <w:bottom w:type="dxa" w:w="60"/>
              <w:right w:type="dxa" w:w="80"/>
            </w:tcMar>
          </w:tcPr>
          <w:p>
            <w:r>
              <w:rPr>
                <w:sz w:val="19"/>
                <w:szCs w:val="19"/>
              </w:rPr>
              <w:t xml:space="preserve">Client Admin</w:t>
            </w:r>
          </w:p>
        </w:tc>
        <w:tc>
          <w:tcPr>
            <w:tcW w:type="dxa" w:w="2300"/>
            <w:shd w:fill="DCE6F1" w:val="clear"/>
            <w:tcMar>
              <w:top w:type="dxa" w:w="60"/>
              <w:left w:type="dxa" w:w="80"/>
              <w:bottom w:type="dxa" w:w="60"/>
              <w:right w:type="dxa" w:w="80"/>
            </w:tcMar>
          </w:tcPr>
          <w:p>
            <w:r>
              <w:rPr>
                <w:sz w:val="19"/>
                <w:szCs w:val="19"/>
              </w:rPr>
              <w:t xml:space="preserve">—</w:t>
            </w:r>
          </w:p>
        </w:tc>
      </w:tr>
      <w:tr>
        <w:tc>
          <w:tcPr>
            <w:tcW w:type="dxa" w:w="2600"/>
            <w:shd w:fill="FFFFFF" w:val="clear"/>
            <w:tcMar>
              <w:top w:type="dxa" w:w="60"/>
              <w:left w:type="dxa" w:w="80"/>
              <w:bottom w:type="dxa" w:w="60"/>
              <w:right w:type="dxa" w:w="80"/>
            </w:tcMar>
          </w:tcPr>
          <w:p>
            <w:r>
              <w:rPr>
                <w:sz w:val="19"/>
                <w:szCs w:val="19"/>
              </w:rPr>
              <w:t xml:space="preserve">Date format</w:t>
            </w:r>
          </w:p>
        </w:tc>
        <w:tc>
          <w:tcPr>
            <w:tcW w:type="dxa" w:w="2400"/>
            <w:shd w:fill="FFFFFF" w:val="clear"/>
            <w:tcMar>
              <w:top w:type="dxa" w:w="60"/>
              <w:left w:type="dxa" w:w="80"/>
              <w:bottom w:type="dxa" w:w="60"/>
              <w:right w:type="dxa" w:w="80"/>
            </w:tcMar>
          </w:tcPr>
          <w:p>
            <w:r>
              <w:rPr>
                <w:sz w:val="19"/>
                <w:szCs w:val="19"/>
              </w:rPr>
              <w:t xml:space="preserve">Format string</w:t>
            </w:r>
          </w:p>
        </w:tc>
        <w:tc>
          <w:tcPr>
            <w:tcW w:type="dxa" w:w="2000"/>
            <w:shd w:fill="FFFFFF" w:val="clear"/>
            <w:tcMar>
              <w:top w:type="dxa" w:w="60"/>
              <w:left w:type="dxa" w:w="80"/>
              <w:bottom w:type="dxa" w:w="60"/>
              <w:right w:type="dxa" w:w="80"/>
            </w:tcMar>
          </w:tcPr>
          <w:p>
            <w:r>
              <w:rPr>
                <w:sz w:val="19"/>
                <w:szCs w:val="19"/>
              </w:rPr>
              <w:t xml:space="preserve">Client Admin</w:t>
            </w:r>
          </w:p>
        </w:tc>
        <w:tc>
          <w:tcPr>
            <w:tcW w:type="dxa" w:w="2300"/>
            <w:shd w:fill="FFFFFF" w:val="clear"/>
            <w:tcMar>
              <w:top w:type="dxa" w:w="60"/>
              <w:left w:type="dxa" w:w="80"/>
              <w:bottom w:type="dxa" w:w="60"/>
              <w:right w:type="dxa" w:w="80"/>
            </w:tcMar>
          </w:tcPr>
          <w:p>
            <w:r>
              <w:rPr>
                <w:sz w:val="19"/>
                <w:szCs w:val="19"/>
              </w:rPr>
              <w:t xml:space="preserve">e.g. DD-MM-YYYY</w:t>
            </w:r>
          </w:p>
        </w:tc>
      </w:tr>
      <w:tr>
        <w:tc>
          <w:tcPr>
            <w:tcW w:type="dxa" w:w="2600"/>
            <w:shd w:fill="DCE6F1" w:val="clear"/>
            <w:tcMar>
              <w:top w:type="dxa" w:w="60"/>
              <w:left w:type="dxa" w:w="80"/>
              <w:bottom w:type="dxa" w:w="60"/>
              <w:right w:type="dxa" w:w="80"/>
            </w:tcMar>
          </w:tcPr>
          <w:p>
            <w:r>
              <w:rPr>
                <w:sz w:val="19"/>
                <w:szCs w:val="19"/>
              </w:rPr>
              <w:t xml:space="preserve">Language(s) / dual-script support</w:t>
            </w:r>
          </w:p>
        </w:tc>
        <w:tc>
          <w:tcPr>
            <w:tcW w:type="dxa" w:w="2400"/>
            <w:shd w:fill="DCE6F1" w:val="clear"/>
            <w:tcMar>
              <w:top w:type="dxa" w:w="60"/>
              <w:left w:type="dxa" w:w="80"/>
              <w:bottom w:type="dxa" w:w="60"/>
              <w:right w:type="dxa" w:w="80"/>
            </w:tcMar>
          </w:tcPr>
          <w:p>
            <w:r>
              <w:rPr>
                <w:sz w:val="19"/>
                <w:szCs w:val="19"/>
              </w:rPr>
              <w:t xml:space="preserve">List of supported languages/scripts</w:t>
            </w:r>
          </w:p>
        </w:tc>
        <w:tc>
          <w:tcPr>
            <w:tcW w:type="dxa" w:w="2000"/>
            <w:shd w:fill="DCE6F1" w:val="clear"/>
            <w:tcMar>
              <w:top w:type="dxa" w:w="60"/>
              <w:left w:type="dxa" w:w="80"/>
              <w:bottom w:type="dxa" w:w="60"/>
              <w:right w:type="dxa" w:w="80"/>
            </w:tcMar>
          </w:tcPr>
          <w:p>
            <w:r>
              <w:rPr>
                <w:sz w:val="19"/>
                <w:szCs w:val="19"/>
              </w:rPr>
              <w:t xml:space="preserve">Client Admin</w:t>
            </w:r>
          </w:p>
        </w:tc>
        <w:tc>
          <w:tcPr>
            <w:tcW w:type="dxa" w:w="2300"/>
            <w:shd w:fill="DCE6F1" w:val="clear"/>
            <w:tcMar>
              <w:top w:type="dxa" w:w="60"/>
              <w:left w:type="dxa" w:w="80"/>
              <w:bottom w:type="dxa" w:w="60"/>
              <w:right w:type="dxa" w:w="80"/>
            </w:tcMar>
          </w:tcPr>
          <w:p>
            <w:r>
              <w:rPr>
                <w:sz w:val="19"/>
                <w:szCs w:val="19"/>
              </w:rPr>
              <w:t xml:space="preserve">e.g. English + Arabic, as in the reference engagement</w:t>
            </w:r>
          </w:p>
        </w:tc>
      </w:tr>
      <w:tr>
        <w:tc>
          <w:tcPr>
            <w:tcW w:type="dxa" w:w="2600"/>
            <w:shd w:fill="FFFFFF" w:val="clear"/>
            <w:tcMar>
              <w:top w:type="dxa" w:w="60"/>
              <w:left w:type="dxa" w:w="80"/>
              <w:bottom w:type="dxa" w:w="60"/>
              <w:right w:type="dxa" w:w="80"/>
            </w:tcMar>
          </w:tcPr>
          <w:p>
            <w:r>
              <w:rPr>
                <w:sz w:val="19"/>
                <w:szCs w:val="19"/>
              </w:rPr>
              <w:t xml:space="preserve">Identification Document Type catalog</w:t>
            </w:r>
          </w:p>
        </w:tc>
        <w:tc>
          <w:tcPr>
            <w:tcW w:type="dxa" w:w="2400"/>
            <w:shd w:fill="FFFFFF" w:val="clear"/>
            <w:tcMar>
              <w:top w:type="dxa" w:w="60"/>
              <w:left w:type="dxa" w:w="80"/>
              <w:bottom w:type="dxa" w:w="60"/>
              <w:right w:type="dxa" w:w="80"/>
            </w:tcMar>
          </w:tcPr>
          <w:p>
            <w:r>
              <w:rPr>
                <w:sz w:val="19"/>
                <w:szCs w:val="19"/>
              </w:rPr>
              <w:t xml:space="preserve">List, per jurisdiction</w:t>
            </w:r>
          </w:p>
        </w:tc>
        <w:tc>
          <w:tcPr>
            <w:tcW w:type="dxa" w:w="2000"/>
            <w:shd w:fill="FFFFFF" w:val="clear"/>
            <w:tcMar>
              <w:top w:type="dxa" w:w="60"/>
              <w:left w:type="dxa" w:w="80"/>
              <w:bottom w:type="dxa" w:w="60"/>
              <w:right w:type="dxa" w:w="80"/>
            </w:tcMar>
          </w:tcPr>
          <w:p>
            <w:r>
              <w:rPr>
                <w:sz w:val="19"/>
                <w:szCs w:val="19"/>
              </w:rPr>
              <w:t xml:space="preserve">Client Compliance Owner</w:t>
            </w:r>
          </w:p>
        </w:tc>
        <w:tc>
          <w:tcPr>
            <w:tcW w:type="dxa" w:w="2300"/>
            <w:shd w:fill="FFFFFF" w:val="clear"/>
            <w:tcMar>
              <w:top w:type="dxa" w:w="60"/>
              <w:left w:type="dxa" w:w="80"/>
              <w:bottom w:type="dxa" w:w="60"/>
              <w:right w:type="dxa" w:w="80"/>
            </w:tcMar>
          </w:tcPr>
          <w:p>
            <w:r>
              <w:rPr>
                <w:sz w:val="19"/>
                <w:szCs w:val="19"/>
              </w:rPr>
              <w:t xml:space="preserve">Field name is generic; value list (e.g. Civil ID, Commercial Registration) is jurisdiction-specific — see Field Matrix</w:t>
            </w:r>
          </w:p>
        </w:tc>
      </w:tr>
      <w:tr>
        <w:tc>
          <w:tcPr>
            <w:tcW w:type="dxa" w:w="2600"/>
            <w:shd w:fill="DCE6F1" w:val="clear"/>
            <w:tcMar>
              <w:top w:type="dxa" w:w="60"/>
              <w:left w:type="dxa" w:w="80"/>
              <w:bottom w:type="dxa" w:w="60"/>
              <w:right w:type="dxa" w:w="80"/>
            </w:tcMar>
          </w:tcPr>
          <w:p>
            <w:r>
              <w:rPr>
                <w:sz w:val="19"/>
                <w:szCs w:val="19"/>
              </w:rPr>
              <w:t xml:space="preserve">Industry classification scheme</w:t>
            </w:r>
          </w:p>
        </w:tc>
        <w:tc>
          <w:tcPr>
            <w:tcW w:type="dxa" w:w="2400"/>
            <w:shd w:fill="DCE6F1" w:val="clear"/>
            <w:tcMar>
              <w:top w:type="dxa" w:w="60"/>
              <w:left w:type="dxa" w:w="80"/>
              <w:bottom w:type="dxa" w:w="60"/>
              <w:right w:type="dxa" w:w="80"/>
            </w:tcMar>
          </w:tcPr>
          <w:p>
            <w:r>
              <w:rPr>
                <w:sz w:val="19"/>
                <w:szCs w:val="19"/>
              </w:rPr>
              <w:t xml:space="preserve">NAICS / NACE / other, selectable</w:t>
            </w:r>
          </w:p>
        </w:tc>
        <w:tc>
          <w:tcPr>
            <w:tcW w:type="dxa" w:w="2000"/>
            <w:shd w:fill="DCE6F1" w:val="clear"/>
            <w:tcMar>
              <w:top w:type="dxa" w:w="60"/>
              <w:left w:type="dxa" w:w="80"/>
              <w:bottom w:type="dxa" w:w="60"/>
              <w:right w:type="dxa" w:w="80"/>
            </w:tcMar>
          </w:tcPr>
          <w:p>
            <w:r>
              <w:rPr>
                <w:sz w:val="19"/>
                <w:szCs w:val="19"/>
              </w:rPr>
              <w:t xml:space="preserve">Client Admin</w:t>
            </w:r>
          </w:p>
        </w:tc>
        <w:tc>
          <w:tcPr>
            <w:tcW w:type="dxa" w:w="2300"/>
            <w:shd w:fill="DCE6F1" w:val="clear"/>
            <w:tcMar>
              <w:top w:type="dxa" w:w="60"/>
              <w:left w:type="dxa" w:w="80"/>
              <w:bottom w:type="dxa" w:w="60"/>
              <w:right w:type="dxa" w:w="80"/>
            </w:tcMar>
          </w:tcPr>
          <w:p>
            <w:r>
              <w:rPr>
                <w:sz w:val="19"/>
                <w:szCs w:val="19"/>
              </w:rPr>
              <w:t xml:space="preserve">Section on ESG — NAICS=North America, NACE=EU</w:t>
            </w:r>
          </w:p>
        </w:tc>
      </w:tr>
    </w:tbl>
    <w:p>
      <w:pPr>
        <w:pStyle w:val="Heading2"/>
        <w:keepNext/>
        <w:spacing w:after="140" w:before="320"/>
      </w:pPr>
      <w:r>
        <w:rPr>
          <w:b/>
          <w:bCs/>
          <w:color w:val="2E5496"/>
          <w:sz w:val="26"/>
          <w:szCs w:val="26"/>
        </w:rPr>
        <w:t xml:space="preserve">18.5 Integration Configuration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300"/>
        <w:gridCol w:w="2000"/>
      </w:tblGrid>
      <w:tr>
        <w:trPr>
          <w:tblHeader/>
        </w:trPr>
        <w:tc>
          <w:tcPr>
            <w:tcW w:type="dxa" w:w="2800"/>
            <w:shd w:fill="1F3864" w:val="clear"/>
            <w:tcMar>
              <w:top w:type="dxa" w:w="60"/>
              <w:left w:type="dxa" w:w="80"/>
              <w:bottom w:type="dxa" w:w="60"/>
              <w:right w:type="dxa" w:w="80"/>
            </w:tcMar>
          </w:tcPr>
          <w:p>
            <w:r>
              <w:rPr>
                <w:b/>
                <w:bCs/>
                <w:color w:val="FFFFFF"/>
                <w:sz w:val="19"/>
                <w:szCs w:val="19"/>
              </w:rPr>
              <w:t xml:space="preserve">Configuration Item</w:t>
            </w:r>
          </w:p>
        </w:tc>
        <w:tc>
          <w:tcPr>
            <w:tcW w:type="dxa" w:w="2200"/>
            <w:shd w:fill="1F3864" w:val="clear"/>
            <w:tcMar>
              <w:top w:type="dxa" w:w="60"/>
              <w:left w:type="dxa" w:w="80"/>
              <w:bottom w:type="dxa" w:w="60"/>
              <w:right w:type="dxa" w:w="80"/>
            </w:tcMar>
          </w:tcPr>
          <w:p>
            <w:r>
              <w:rPr>
                <w:b/>
                <w:bCs/>
                <w:color w:val="FFFFFF"/>
                <w:sz w:val="19"/>
                <w:szCs w:val="19"/>
              </w:rPr>
              <w:t xml:space="preserve">Type / Format</w:t>
            </w:r>
          </w:p>
        </w:tc>
        <w:tc>
          <w:tcPr>
            <w:tcW w:type="dxa" w:w="2300"/>
            <w:shd w:fill="1F3864" w:val="clear"/>
            <w:tcMar>
              <w:top w:type="dxa" w:w="60"/>
              <w:left w:type="dxa" w:w="80"/>
              <w:bottom w:type="dxa" w:w="60"/>
              <w:right w:type="dxa" w:w="80"/>
            </w:tcMar>
          </w:tcPr>
          <w:p>
            <w:r>
              <w:rPr>
                <w:b/>
                <w:bCs/>
                <w:color w:val="FFFFFF"/>
                <w:sz w:val="19"/>
                <w:szCs w:val="19"/>
              </w:rPr>
              <w:t xml:space="preserve">Set By</w:t>
            </w:r>
          </w:p>
        </w:tc>
        <w:tc>
          <w:tcPr>
            <w:tcW w:type="dxa" w:w="2000"/>
            <w:shd w:fill="1F3864" w:val="clear"/>
            <w:tcMar>
              <w:top w:type="dxa" w:w="60"/>
              <w:left w:type="dxa" w:w="80"/>
              <w:bottom w:type="dxa" w:w="60"/>
              <w:right w:type="dxa" w:w="80"/>
            </w:tcMar>
          </w:tcPr>
          <w:p>
            <w:r>
              <w:rPr>
                <w:b/>
                <w:bCs/>
                <w:color w:val="FFFFFF"/>
                <w:sz w:val="19"/>
                <w:szCs w:val="19"/>
              </w:rPr>
              <w:t xml:space="preserve">Example / Reference</w:t>
            </w:r>
          </w:p>
        </w:tc>
      </w:tr>
      <w:tr>
        <w:tc>
          <w:tcPr>
            <w:tcW w:type="dxa" w:w="2800"/>
            <w:shd w:fill="FFFFFF" w:val="clear"/>
            <w:tcMar>
              <w:top w:type="dxa" w:w="60"/>
              <w:left w:type="dxa" w:w="80"/>
              <w:bottom w:type="dxa" w:w="60"/>
              <w:right w:type="dxa" w:w="80"/>
            </w:tcMar>
          </w:tcPr>
          <w:p>
            <w:r>
              <w:rPr>
                <w:sz w:val="19"/>
                <w:szCs w:val="19"/>
              </w:rPr>
              <w:t xml:space="preserve">Core Banking Adapter endpoint &amp; credentials</w:t>
            </w:r>
          </w:p>
        </w:tc>
        <w:tc>
          <w:tcPr>
            <w:tcW w:type="dxa" w:w="2200"/>
            <w:shd w:fill="FFFFFF" w:val="clear"/>
            <w:tcMar>
              <w:top w:type="dxa" w:w="60"/>
              <w:left w:type="dxa" w:w="80"/>
              <w:bottom w:type="dxa" w:w="60"/>
              <w:right w:type="dxa" w:w="80"/>
            </w:tcMar>
          </w:tcPr>
          <w:p>
            <w:r>
              <w:rPr>
                <w:sz w:val="19"/>
                <w:szCs w:val="19"/>
              </w:rPr>
              <w:t xml:space="preserve">Connection config</w:t>
            </w:r>
          </w:p>
        </w:tc>
        <w:tc>
          <w:tcPr>
            <w:tcW w:type="dxa" w:w="2300"/>
            <w:shd w:fill="FFFFFF" w:val="clear"/>
            <w:tcMar>
              <w:top w:type="dxa" w:w="60"/>
              <w:left w:type="dxa" w:w="80"/>
              <w:bottom w:type="dxa" w:w="60"/>
              <w:right w:type="dxa" w:w="80"/>
            </w:tcMar>
          </w:tcPr>
          <w:p>
            <w:r>
              <w:rPr>
                <w:sz w:val="19"/>
                <w:szCs w:val="19"/>
              </w:rPr>
              <w:t xml:space="preserve">Client IT + Implementation Team</w:t>
            </w:r>
          </w:p>
        </w:tc>
        <w:tc>
          <w:tcPr>
            <w:tcW w:type="dxa" w:w="2000"/>
            <w:shd w:fill="FFFFFF" w:val="clear"/>
            <w:tcMar>
              <w:top w:type="dxa" w:w="60"/>
              <w:left w:type="dxa" w:w="80"/>
              <w:bottom w:type="dxa" w:w="60"/>
              <w:right w:type="dxa" w:w="80"/>
            </w:tcMar>
          </w:tcPr>
          <w:p>
            <w:r>
              <w:rPr>
                <w:sz w:val="19"/>
                <w:szCs w:val="19"/>
              </w:rPr>
              <w:t xml:space="preserve">Section 11.1</w:t>
            </w:r>
          </w:p>
        </w:tc>
      </w:tr>
      <w:tr>
        <w:tc>
          <w:tcPr>
            <w:tcW w:type="dxa" w:w="2800"/>
            <w:shd w:fill="DCE6F1" w:val="clear"/>
            <w:tcMar>
              <w:top w:type="dxa" w:w="60"/>
              <w:left w:type="dxa" w:w="80"/>
              <w:bottom w:type="dxa" w:w="60"/>
              <w:right w:type="dxa" w:w="80"/>
            </w:tcMar>
          </w:tcPr>
          <w:p>
            <w:r>
              <w:rPr>
                <w:sz w:val="19"/>
                <w:szCs w:val="19"/>
              </w:rPr>
              <w:t xml:space="preserve">Customer Master/CRM Adapter endpoint</w:t>
            </w:r>
          </w:p>
        </w:tc>
        <w:tc>
          <w:tcPr>
            <w:tcW w:type="dxa" w:w="2200"/>
            <w:shd w:fill="DCE6F1" w:val="clear"/>
            <w:tcMar>
              <w:top w:type="dxa" w:w="60"/>
              <w:left w:type="dxa" w:w="80"/>
              <w:bottom w:type="dxa" w:w="60"/>
              <w:right w:type="dxa" w:w="80"/>
            </w:tcMar>
          </w:tcPr>
          <w:p>
            <w:r>
              <w:rPr>
                <w:sz w:val="19"/>
                <w:szCs w:val="19"/>
              </w:rPr>
              <w:t xml:space="preserve">Connection config</w:t>
            </w:r>
          </w:p>
        </w:tc>
        <w:tc>
          <w:tcPr>
            <w:tcW w:type="dxa" w:w="2300"/>
            <w:shd w:fill="DCE6F1" w:val="clear"/>
            <w:tcMar>
              <w:top w:type="dxa" w:w="60"/>
              <w:left w:type="dxa" w:w="80"/>
              <w:bottom w:type="dxa" w:w="60"/>
              <w:right w:type="dxa" w:w="80"/>
            </w:tcMar>
          </w:tcPr>
          <w:p>
            <w:r>
              <w:rPr>
                <w:sz w:val="19"/>
                <w:szCs w:val="19"/>
              </w:rPr>
              <w:t xml:space="preserve">Client IT + Implementation Team</w:t>
            </w:r>
          </w:p>
        </w:tc>
        <w:tc>
          <w:tcPr>
            <w:tcW w:type="dxa" w:w="2000"/>
            <w:shd w:fill="DCE6F1" w:val="clear"/>
            <w:tcMar>
              <w:top w:type="dxa" w:w="60"/>
              <w:left w:type="dxa" w:w="80"/>
              <w:bottom w:type="dxa" w:w="60"/>
              <w:right w:type="dxa" w:w="80"/>
            </w:tcMar>
          </w:tcPr>
          <w:p>
            <w:r>
              <w:rPr>
                <w:sz w:val="19"/>
                <w:szCs w:val="19"/>
              </w:rPr>
              <w:t xml:space="preserve">Section 11.1</w:t>
            </w:r>
          </w:p>
        </w:tc>
      </w:tr>
      <w:tr>
        <w:tc>
          <w:tcPr>
            <w:tcW w:type="dxa" w:w="2800"/>
            <w:shd w:fill="FFFFFF" w:val="clear"/>
            <w:tcMar>
              <w:top w:type="dxa" w:w="60"/>
              <w:left w:type="dxa" w:w="80"/>
              <w:bottom w:type="dxa" w:w="60"/>
              <w:right w:type="dxa" w:w="80"/>
            </w:tcMar>
          </w:tcPr>
          <w:p>
            <w:r>
              <w:rPr>
                <w:sz w:val="19"/>
                <w:szCs w:val="19"/>
              </w:rPr>
              <w:t xml:space="preserve">Data Warehouse Adapter endpoint</w:t>
            </w:r>
          </w:p>
        </w:tc>
        <w:tc>
          <w:tcPr>
            <w:tcW w:type="dxa" w:w="2200"/>
            <w:shd w:fill="FFFFFF" w:val="clear"/>
            <w:tcMar>
              <w:top w:type="dxa" w:w="60"/>
              <w:left w:type="dxa" w:w="80"/>
              <w:bottom w:type="dxa" w:w="60"/>
              <w:right w:type="dxa" w:w="80"/>
            </w:tcMar>
          </w:tcPr>
          <w:p>
            <w:r>
              <w:rPr>
                <w:sz w:val="19"/>
                <w:szCs w:val="19"/>
              </w:rPr>
              <w:t xml:space="preserve">Connection config</w:t>
            </w:r>
          </w:p>
        </w:tc>
        <w:tc>
          <w:tcPr>
            <w:tcW w:type="dxa" w:w="2300"/>
            <w:shd w:fill="FFFFFF" w:val="clear"/>
            <w:tcMar>
              <w:top w:type="dxa" w:w="60"/>
              <w:left w:type="dxa" w:w="80"/>
              <w:bottom w:type="dxa" w:w="60"/>
              <w:right w:type="dxa" w:w="80"/>
            </w:tcMar>
          </w:tcPr>
          <w:p>
            <w:r>
              <w:rPr>
                <w:sz w:val="19"/>
                <w:szCs w:val="19"/>
              </w:rPr>
              <w:t xml:space="preserve">Client IT + Implementation Team</w:t>
            </w:r>
          </w:p>
        </w:tc>
        <w:tc>
          <w:tcPr>
            <w:tcW w:type="dxa" w:w="2000"/>
            <w:shd w:fill="FFFFFF" w:val="clear"/>
            <w:tcMar>
              <w:top w:type="dxa" w:w="60"/>
              <w:left w:type="dxa" w:w="80"/>
              <w:bottom w:type="dxa" w:w="60"/>
              <w:right w:type="dxa" w:w="80"/>
            </w:tcMar>
          </w:tcPr>
          <w:p>
            <w:r>
              <w:rPr>
                <w:sz w:val="19"/>
                <w:szCs w:val="19"/>
              </w:rPr>
              <w:t xml:space="preserve">Section 11.1</w:t>
            </w:r>
          </w:p>
        </w:tc>
      </w:tr>
      <w:tr>
        <w:tc>
          <w:tcPr>
            <w:tcW w:type="dxa" w:w="2800"/>
            <w:shd w:fill="DCE6F1" w:val="clear"/>
            <w:tcMar>
              <w:top w:type="dxa" w:w="60"/>
              <w:left w:type="dxa" w:w="80"/>
              <w:bottom w:type="dxa" w:w="60"/>
              <w:right w:type="dxa" w:w="80"/>
            </w:tcMar>
          </w:tcPr>
          <w:p>
            <w:r>
              <w:rPr>
                <w:sz w:val="19"/>
                <w:szCs w:val="19"/>
              </w:rPr>
              <w:t xml:space="preserve">Credit Bureau Adapter endpoint</w:t>
            </w:r>
          </w:p>
        </w:tc>
        <w:tc>
          <w:tcPr>
            <w:tcW w:type="dxa" w:w="2200"/>
            <w:shd w:fill="DCE6F1" w:val="clear"/>
            <w:tcMar>
              <w:top w:type="dxa" w:w="60"/>
              <w:left w:type="dxa" w:w="80"/>
              <w:bottom w:type="dxa" w:w="60"/>
              <w:right w:type="dxa" w:w="80"/>
            </w:tcMar>
          </w:tcPr>
          <w:p>
            <w:r>
              <w:rPr>
                <w:sz w:val="19"/>
                <w:szCs w:val="19"/>
              </w:rPr>
              <w:t xml:space="preserve">Connection config</w:t>
            </w:r>
          </w:p>
        </w:tc>
        <w:tc>
          <w:tcPr>
            <w:tcW w:type="dxa" w:w="2300"/>
            <w:shd w:fill="DCE6F1" w:val="clear"/>
            <w:tcMar>
              <w:top w:type="dxa" w:w="60"/>
              <w:left w:type="dxa" w:w="80"/>
              <w:bottom w:type="dxa" w:w="60"/>
              <w:right w:type="dxa" w:w="80"/>
            </w:tcMar>
          </w:tcPr>
          <w:p>
            <w:r>
              <w:rPr>
                <w:sz w:val="19"/>
                <w:szCs w:val="19"/>
              </w:rPr>
              <w:t xml:space="preserve">Client IT + Implementation Team</w:t>
            </w:r>
          </w:p>
        </w:tc>
        <w:tc>
          <w:tcPr>
            <w:tcW w:type="dxa" w:w="2000"/>
            <w:shd w:fill="DCE6F1" w:val="clear"/>
            <w:tcMar>
              <w:top w:type="dxa" w:w="60"/>
              <w:left w:type="dxa" w:w="80"/>
              <w:bottom w:type="dxa" w:w="60"/>
              <w:right w:type="dxa" w:w="80"/>
            </w:tcMar>
          </w:tcPr>
          <w:p>
            <w:r>
              <w:rPr>
                <w:sz w:val="19"/>
                <w:szCs w:val="19"/>
              </w:rPr>
              <w:t xml:space="preserve">Section 11.1, 16 — may not exist in every jurisdiction</w:t>
            </w:r>
          </w:p>
        </w:tc>
      </w:tr>
      <w:tr>
        <w:tc>
          <w:tcPr>
            <w:tcW w:type="dxa" w:w="2800"/>
            <w:shd w:fill="FFFFFF" w:val="clear"/>
            <w:tcMar>
              <w:top w:type="dxa" w:w="60"/>
              <w:left w:type="dxa" w:w="80"/>
              <w:bottom w:type="dxa" w:w="60"/>
              <w:right w:type="dxa" w:w="80"/>
            </w:tcMar>
          </w:tcPr>
          <w:p>
            <w:r>
              <w:rPr>
                <w:sz w:val="19"/>
                <w:szCs w:val="19"/>
              </w:rPr>
              <w:t xml:space="preserve">Market/Peer Exposure Adapter endpoint (optional)</w:t>
            </w:r>
          </w:p>
        </w:tc>
        <w:tc>
          <w:tcPr>
            <w:tcW w:type="dxa" w:w="2200"/>
            <w:shd w:fill="FFFFFF" w:val="clear"/>
            <w:tcMar>
              <w:top w:type="dxa" w:w="60"/>
              <w:left w:type="dxa" w:w="80"/>
              <w:bottom w:type="dxa" w:w="60"/>
              <w:right w:type="dxa" w:w="80"/>
            </w:tcMar>
          </w:tcPr>
          <w:p>
            <w:r>
              <w:rPr>
                <w:sz w:val="19"/>
                <w:szCs w:val="19"/>
              </w:rPr>
              <w:t xml:space="preserve">Connection config</w:t>
            </w:r>
          </w:p>
        </w:tc>
        <w:tc>
          <w:tcPr>
            <w:tcW w:type="dxa" w:w="2300"/>
            <w:shd w:fill="FFFFFF" w:val="clear"/>
            <w:tcMar>
              <w:top w:type="dxa" w:w="60"/>
              <w:left w:type="dxa" w:w="80"/>
              <w:bottom w:type="dxa" w:w="60"/>
              <w:right w:type="dxa" w:w="80"/>
            </w:tcMar>
          </w:tcPr>
          <w:p>
            <w:r>
              <w:rPr>
                <w:sz w:val="19"/>
                <w:szCs w:val="19"/>
              </w:rPr>
              <w:t xml:space="preserve">Client IT + Implementation Team</w:t>
            </w:r>
          </w:p>
        </w:tc>
        <w:tc>
          <w:tcPr>
            <w:tcW w:type="dxa" w:w="2000"/>
            <w:shd w:fill="FFFFFF" w:val="clear"/>
            <w:tcMar>
              <w:top w:type="dxa" w:w="60"/>
              <w:left w:type="dxa" w:w="80"/>
              <w:bottom w:type="dxa" w:w="60"/>
              <w:right w:type="dxa" w:w="80"/>
            </w:tcMar>
          </w:tcPr>
          <w:p>
            <w:r>
              <w:rPr>
                <w:sz w:val="19"/>
                <w:szCs w:val="19"/>
              </w:rPr>
              <w:t xml:space="preserve">Section 11.1 — jurisdiction-dependent, may be N/A</w:t>
            </w:r>
          </w:p>
        </w:tc>
      </w:tr>
      <w:tr>
        <w:tc>
          <w:tcPr>
            <w:tcW w:type="dxa" w:w="2800"/>
            <w:shd w:fill="DCE6F1" w:val="clear"/>
            <w:tcMar>
              <w:top w:type="dxa" w:w="60"/>
              <w:left w:type="dxa" w:w="80"/>
              <w:bottom w:type="dxa" w:w="60"/>
              <w:right w:type="dxa" w:w="80"/>
            </w:tcMar>
          </w:tcPr>
          <w:p>
            <w:r>
              <w:rPr>
                <w:sz w:val="19"/>
                <w:szCs w:val="19"/>
              </w:rPr>
              <w:t xml:space="preserve">Document Management/ECM endpoint</w:t>
            </w:r>
          </w:p>
        </w:tc>
        <w:tc>
          <w:tcPr>
            <w:tcW w:type="dxa" w:w="2200"/>
            <w:shd w:fill="DCE6F1" w:val="clear"/>
            <w:tcMar>
              <w:top w:type="dxa" w:w="60"/>
              <w:left w:type="dxa" w:w="80"/>
              <w:bottom w:type="dxa" w:w="60"/>
              <w:right w:type="dxa" w:w="80"/>
            </w:tcMar>
          </w:tcPr>
          <w:p>
            <w:r>
              <w:rPr>
                <w:sz w:val="19"/>
                <w:szCs w:val="19"/>
              </w:rPr>
              <w:t xml:space="preserve">Connection config</w:t>
            </w:r>
          </w:p>
        </w:tc>
        <w:tc>
          <w:tcPr>
            <w:tcW w:type="dxa" w:w="2300"/>
            <w:shd w:fill="DCE6F1" w:val="clear"/>
            <w:tcMar>
              <w:top w:type="dxa" w:w="60"/>
              <w:left w:type="dxa" w:w="80"/>
              <w:bottom w:type="dxa" w:w="60"/>
              <w:right w:type="dxa" w:w="80"/>
            </w:tcMar>
          </w:tcPr>
          <w:p>
            <w:r>
              <w:rPr>
                <w:sz w:val="19"/>
                <w:szCs w:val="19"/>
              </w:rPr>
              <w:t xml:space="preserve">Client IT + Implementation Team</w:t>
            </w:r>
          </w:p>
        </w:tc>
        <w:tc>
          <w:tcPr>
            <w:tcW w:type="dxa" w:w="2000"/>
            <w:shd w:fill="DCE6F1" w:val="clear"/>
            <w:tcMar>
              <w:top w:type="dxa" w:w="60"/>
              <w:left w:type="dxa" w:w="80"/>
              <w:bottom w:type="dxa" w:w="60"/>
              <w:right w:type="dxa" w:w="80"/>
            </w:tcMar>
          </w:tcPr>
          <w:p>
            <w:r>
              <w:rPr>
                <w:sz w:val="19"/>
                <w:szCs w:val="19"/>
              </w:rPr>
              <w:t xml:space="preserve">Referenced in reference engagement's change log</w:t>
            </w:r>
          </w:p>
        </w:tc>
      </w:tr>
      <w:tr>
        <w:tc>
          <w:tcPr>
            <w:tcW w:type="dxa" w:w="2800"/>
            <w:shd w:fill="FFFFFF" w:val="clear"/>
            <w:tcMar>
              <w:top w:type="dxa" w:w="60"/>
              <w:left w:type="dxa" w:w="80"/>
              <w:bottom w:type="dxa" w:w="60"/>
              <w:right w:type="dxa" w:w="80"/>
            </w:tcMar>
          </w:tcPr>
          <w:p>
            <w:r>
              <w:rPr>
                <w:sz w:val="19"/>
                <w:szCs w:val="19"/>
              </w:rPr>
              <w:t xml:space="preserve">Refresh permission by role</w:t>
            </w:r>
          </w:p>
        </w:tc>
        <w:tc>
          <w:tcPr>
            <w:tcW w:type="dxa" w:w="2200"/>
            <w:shd w:fill="FFFFFF" w:val="clear"/>
            <w:tcMar>
              <w:top w:type="dxa" w:w="60"/>
              <w:left w:type="dxa" w:w="80"/>
              <w:bottom w:type="dxa" w:w="60"/>
              <w:right w:type="dxa" w:w="80"/>
            </w:tcMar>
          </w:tcPr>
          <w:p>
            <w:r>
              <w:rPr>
                <w:sz w:val="19"/>
                <w:szCs w:val="19"/>
              </w:rPr>
              <w:t xml:space="preserve">Role → allowed/denied per adapter</w:t>
            </w:r>
          </w:p>
        </w:tc>
        <w:tc>
          <w:tcPr>
            <w:tcW w:type="dxa" w:w="2300"/>
            <w:shd w:fill="FFFFFF" w:val="clear"/>
            <w:tcMar>
              <w:top w:type="dxa" w:w="60"/>
              <w:left w:type="dxa" w:w="80"/>
              <w:bottom w:type="dxa" w:w="60"/>
              <w:right w:type="dxa" w:w="80"/>
            </w:tcMar>
          </w:tcPr>
          <w:p>
            <w:r>
              <w:rPr>
                <w:sz w:val="19"/>
                <w:szCs w:val="19"/>
              </w:rPr>
              <w:t xml:space="preserve">Client Admin</w:t>
            </w:r>
          </w:p>
        </w:tc>
        <w:tc>
          <w:tcPr>
            <w:tcW w:type="dxa" w:w="2000"/>
            <w:shd w:fill="FFFFFF" w:val="clear"/>
            <w:tcMar>
              <w:top w:type="dxa" w:w="60"/>
              <w:left w:type="dxa" w:w="80"/>
              <w:bottom w:type="dxa" w:w="60"/>
              <w:right w:type="dxa" w:w="80"/>
            </w:tcMar>
          </w:tcPr>
          <w:p>
            <w:r>
              <w:rPr>
                <w:sz w:val="19"/>
                <w:szCs w:val="19"/>
              </w:rPr>
              <w:t xml:space="preserve">Section 11.2</w:t>
            </w:r>
          </w:p>
        </w:tc>
      </w:tr>
    </w:tbl>
    <w:p>
      <w:pPr>
        <w:pStyle w:val="Heading2"/>
        <w:keepNext/>
        <w:spacing w:after="140" w:before="320"/>
      </w:pPr>
      <w:r>
        <w:rPr>
          <w:b/>
          <w:bCs/>
          <w:color w:val="2E5496"/>
          <w:sz w:val="26"/>
          <w:szCs w:val="26"/>
        </w:rPr>
        <w:t xml:space="preserve">18.6 Dashboard, Pricing &amp; Module Configuration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200"/>
        <w:gridCol w:w="2100"/>
      </w:tblGrid>
      <w:tr>
        <w:trPr>
          <w:tblHeader/>
        </w:trPr>
        <w:tc>
          <w:tcPr>
            <w:tcW w:type="dxa" w:w="2600"/>
            <w:shd w:fill="1F3864" w:val="clear"/>
            <w:tcMar>
              <w:top w:type="dxa" w:w="60"/>
              <w:left w:type="dxa" w:w="80"/>
              <w:bottom w:type="dxa" w:w="60"/>
              <w:right w:type="dxa" w:w="80"/>
            </w:tcMar>
          </w:tcPr>
          <w:p>
            <w:r>
              <w:rPr>
                <w:b/>
                <w:bCs/>
                <w:color w:val="FFFFFF"/>
                <w:sz w:val="19"/>
                <w:szCs w:val="19"/>
              </w:rPr>
              <w:t xml:space="preserve">Configuration Item</w:t>
            </w:r>
          </w:p>
        </w:tc>
        <w:tc>
          <w:tcPr>
            <w:tcW w:type="dxa" w:w="2400"/>
            <w:shd w:fill="1F3864" w:val="clear"/>
            <w:tcMar>
              <w:top w:type="dxa" w:w="60"/>
              <w:left w:type="dxa" w:w="80"/>
              <w:bottom w:type="dxa" w:w="60"/>
              <w:right w:type="dxa" w:w="80"/>
            </w:tcMar>
          </w:tcPr>
          <w:p>
            <w:r>
              <w:rPr>
                <w:b/>
                <w:bCs/>
                <w:color w:val="FFFFFF"/>
                <w:sz w:val="19"/>
                <w:szCs w:val="19"/>
              </w:rPr>
              <w:t xml:space="preserve">Type / Format</w:t>
            </w:r>
          </w:p>
        </w:tc>
        <w:tc>
          <w:tcPr>
            <w:tcW w:type="dxa" w:w="2200"/>
            <w:shd w:fill="1F3864" w:val="clear"/>
            <w:tcMar>
              <w:top w:type="dxa" w:w="60"/>
              <w:left w:type="dxa" w:w="80"/>
              <w:bottom w:type="dxa" w:w="60"/>
              <w:right w:type="dxa" w:w="80"/>
            </w:tcMar>
          </w:tcPr>
          <w:p>
            <w:r>
              <w:rPr>
                <w:b/>
                <w:bCs/>
                <w:color w:val="FFFFFF"/>
                <w:sz w:val="19"/>
                <w:szCs w:val="19"/>
              </w:rPr>
              <w:t xml:space="preserve">Set By</w:t>
            </w:r>
          </w:p>
        </w:tc>
        <w:tc>
          <w:tcPr>
            <w:tcW w:type="dxa" w:w="2100"/>
            <w:shd w:fill="1F3864" w:val="clear"/>
            <w:tcMar>
              <w:top w:type="dxa" w:w="60"/>
              <w:left w:type="dxa" w:w="80"/>
              <w:bottom w:type="dxa" w:w="60"/>
              <w:right w:type="dxa" w:w="80"/>
            </w:tcMar>
          </w:tcPr>
          <w:p>
            <w:r>
              <w:rPr>
                <w:b/>
                <w:bCs/>
                <w:color w:val="FFFFFF"/>
                <w:sz w:val="19"/>
                <w:szCs w:val="19"/>
              </w:rPr>
              <w:t xml:space="preserve">Example / Reference</w:t>
            </w:r>
          </w:p>
        </w:tc>
      </w:tr>
      <w:tr>
        <w:tc>
          <w:tcPr>
            <w:tcW w:type="dxa" w:w="2600"/>
            <w:shd w:fill="FFFFFF" w:val="clear"/>
            <w:tcMar>
              <w:top w:type="dxa" w:w="60"/>
              <w:left w:type="dxa" w:w="80"/>
              <w:bottom w:type="dxa" w:w="60"/>
              <w:right w:type="dxa" w:w="80"/>
            </w:tcMar>
          </w:tcPr>
          <w:p>
            <w:r>
              <w:rPr>
                <w:sz w:val="19"/>
                <w:szCs w:val="19"/>
              </w:rPr>
              <w:t xml:space="preserve">Role-to-widget mapping</w:t>
            </w:r>
          </w:p>
        </w:tc>
        <w:tc>
          <w:tcPr>
            <w:tcW w:type="dxa" w:w="2400"/>
            <w:shd w:fill="FFFFFF" w:val="clear"/>
            <w:tcMar>
              <w:top w:type="dxa" w:w="60"/>
              <w:left w:type="dxa" w:w="80"/>
              <w:bottom w:type="dxa" w:w="60"/>
              <w:right w:type="dxa" w:w="80"/>
            </w:tcMar>
          </w:tcPr>
          <w:p>
            <w:r>
              <w:rPr>
                <w:sz w:val="19"/>
                <w:szCs w:val="19"/>
              </w:rPr>
              <w:t xml:space="preserve">Role → list of enabled widgets</w:t>
            </w:r>
          </w:p>
        </w:tc>
        <w:tc>
          <w:tcPr>
            <w:tcW w:type="dxa" w:w="2200"/>
            <w:shd w:fill="FFFFFF" w:val="clear"/>
            <w:tcMar>
              <w:top w:type="dxa" w:w="60"/>
              <w:left w:type="dxa" w:w="80"/>
              <w:bottom w:type="dxa" w:w="60"/>
              <w:right w:type="dxa" w:w="80"/>
            </w:tcMar>
          </w:tcPr>
          <w:p>
            <w:r>
              <w:rPr>
                <w:sz w:val="19"/>
                <w:szCs w:val="19"/>
              </w:rPr>
              <w:t xml:space="preserve">Client Admin</w:t>
            </w:r>
          </w:p>
        </w:tc>
        <w:tc>
          <w:tcPr>
            <w:tcW w:type="dxa" w:w="2100"/>
            <w:shd w:fill="FFFFFF" w:val="clear"/>
            <w:tcMar>
              <w:top w:type="dxa" w:w="60"/>
              <w:left w:type="dxa" w:w="80"/>
              <w:bottom w:type="dxa" w:w="60"/>
              <w:right w:type="dxa" w:w="80"/>
            </w:tcMar>
          </w:tcPr>
          <w:p>
            <w:r>
              <w:rPr>
                <w:sz w:val="19"/>
                <w:szCs w:val="19"/>
              </w:rPr>
              <w:t xml:space="preserve">Section 10</w:t>
            </w:r>
          </w:p>
        </w:tc>
      </w:tr>
      <w:tr>
        <w:tc>
          <w:tcPr>
            <w:tcW w:type="dxa" w:w="2600"/>
            <w:shd w:fill="DCE6F1" w:val="clear"/>
            <w:tcMar>
              <w:top w:type="dxa" w:w="60"/>
              <w:left w:type="dxa" w:w="80"/>
              <w:bottom w:type="dxa" w:w="60"/>
              <w:right w:type="dxa" w:w="80"/>
            </w:tcMar>
          </w:tcPr>
          <w:p>
            <w:r>
              <w:rPr>
                <w:sz w:val="19"/>
                <w:szCs w:val="19"/>
              </w:rPr>
              <w:t xml:space="preserve">Worklist pin cap</w:t>
            </w:r>
          </w:p>
        </w:tc>
        <w:tc>
          <w:tcPr>
            <w:tcW w:type="dxa" w:w="2400"/>
            <w:shd w:fill="DCE6F1" w:val="clear"/>
            <w:tcMar>
              <w:top w:type="dxa" w:w="60"/>
              <w:left w:type="dxa" w:w="80"/>
              <w:bottom w:type="dxa" w:w="60"/>
              <w:right w:type="dxa" w:w="80"/>
            </w:tcMar>
          </w:tcPr>
          <w:p>
            <w:r>
              <w:rPr>
                <w:sz w:val="19"/>
                <w:szCs w:val="19"/>
              </w:rPr>
              <w:t xml:space="preserve">Number</w:t>
            </w:r>
          </w:p>
        </w:tc>
        <w:tc>
          <w:tcPr>
            <w:tcW w:type="dxa" w:w="2200"/>
            <w:shd w:fill="DCE6F1" w:val="clear"/>
            <w:tcMar>
              <w:top w:type="dxa" w:w="60"/>
              <w:left w:type="dxa" w:w="80"/>
              <w:bottom w:type="dxa" w:w="60"/>
              <w:right w:type="dxa" w:w="80"/>
            </w:tcMar>
          </w:tcPr>
          <w:p>
            <w:r>
              <w:rPr>
                <w:sz w:val="19"/>
                <w:szCs w:val="19"/>
              </w:rPr>
              <w:t xml:space="preserve">Client Admin</w:t>
            </w:r>
          </w:p>
        </w:tc>
        <w:tc>
          <w:tcPr>
            <w:tcW w:type="dxa" w:w="2100"/>
            <w:shd w:fill="DCE6F1" w:val="clear"/>
            <w:tcMar>
              <w:top w:type="dxa" w:w="60"/>
              <w:left w:type="dxa" w:w="80"/>
              <w:bottom w:type="dxa" w:w="60"/>
              <w:right w:type="dxa" w:w="80"/>
            </w:tcMar>
          </w:tcPr>
          <w:p>
            <w:r>
              <w:rPr>
                <w:sz w:val="19"/>
                <w:szCs w:val="19"/>
              </w:rPr>
              <w:t xml:space="preserve">Reference engagement used 15</w:t>
            </w:r>
          </w:p>
        </w:tc>
      </w:tr>
      <w:tr>
        <w:tc>
          <w:tcPr>
            <w:tcW w:type="dxa" w:w="2600"/>
            <w:shd w:fill="FFFFFF" w:val="clear"/>
            <w:tcMar>
              <w:top w:type="dxa" w:w="60"/>
              <w:left w:type="dxa" w:w="80"/>
              <w:bottom w:type="dxa" w:w="60"/>
              <w:right w:type="dxa" w:w="80"/>
            </w:tcMar>
          </w:tcPr>
          <w:p>
            <w:r>
              <w:rPr>
                <w:sz w:val="19"/>
                <w:szCs w:val="19"/>
              </w:rPr>
              <w:t xml:space="preserve">Mobile approval enablement</w:t>
            </w:r>
          </w:p>
        </w:tc>
        <w:tc>
          <w:tcPr>
            <w:tcW w:type="dxa" w:w="2400"/>
            <w:shd w:fill="FFFFFF" w:val="clear"/>
            <w:tcMar>
              <w:top w:type="dxa" w:w="60"/>
              <w:left w:type="dxa" w:w="80"/>
              <w:bottom w:type="dxa" w:w="60"/>
              <w:right w:type="dxa" w:w="80"/>
            </w:tcMar>
          </w:tcPr>
          <w:p>
            <w:r>
              <w:rPr>
                <w:sz w:val="19"/>
                <w:szCs w:val="19"/>
              </w:rPr>
              <w:t xml:space="preserve">Boolean, per role</w:t>
            </w:r>
          </w:p>
        </w:tc>
        <w:tc>
          <w:tcPr>
            <w:tcW w:type="dxa" w:w="2200"/>
            <w:shd w:fill="FFFFFF" w:val="clear"/>
            <w:tcMar>
              <w:top w:type="dxa" w:w="60"/>
              <w:left w:type="dxa" w:w="80"/>
              <w:bottom w:type="dxa" w:w="60"/>
              <w:right w:type="dxa" w:w="80"/>
            </w:tcMar>
          </w:tcPr>
          <w:p>
            <w:r>
              <w:rPr>
                <w:sz w:val="19"/>
                <w:szCs w:val="19"/>
              </w:rPr>
              <w:t xml:space="preserve">Client Admin</w:t>
            </w:r>
          </w:p>
        </w:tc>
        <w:tc>
          <w:tcPr>
            <w:tcW w:type="dxa" w:w="2100"/>
            <w:shd w:fill="FFFFFF" w:val="clear"/>
            <w:tcMar>
              <w:top w:type="dxa" w:w="60"/>
              <w:left w:type="dxa" w:w="80"/>
              <w:bottom w:type="dxa" w:w="60"/>
              <w:right w:type="dxa" w:w="80"/>
            </w:tcMar>
          </w:tcPr>
          <w:p>
            <w:r>
              <w:rPr>
                <w:sz w:val="19"/>
                <w:szCs w:val="19"/>
              </w:rPr>
              <w:t xml:space="preserve">Section on Mobile Approval</w:t>
            </w:r>
          </w:p>
        </w:tc>
      </w:tr>
      <w:tr>
        <w:tc>
          <w:tcPr>
            <w:tcW w:type="dxa" w:w="2600"/>
            <w:shd w:fill="DCE6F1" w:val="clear"/>
            <w:tcMar>
              <w:top w:type="dxa" w:w="60"/>
              <w:left w:type="dxa" w:w="80"/>
              <w:bottom w:type="dxa" w:w="60"/>
              <w:right w:type="dxa" w:w="80"/>
            </w:tcMar>
          </w:tcPr>
          <w:p>
            <w:r>
              <w:rPr>
                <w:sz w:val="19"/>
                <w:szCs w:val="19"/>
              </w:rPr>
              <w:t xml:space="preserve">Fee Type catalog</w:t>
            </w:r>
          </w:p>
        </w:tc>
        <w:tc>
          <w:tcPr>
            <w:tcW w:type="dxa" w:w="2400"/>
            <w:shd w:fill="DCE6F1" w:val="clear"/>
            <w:tcMar>
              <w:top w:type="dxa" w:w="60"/>
              <w:left w:type="dxa" w:w="80"/>
              <w:bottom w:type="dxa" w:w="60"/>
              <w:right w:type="dxa" w:w="80"/>
            </w:tcMar>
          </w:tcPr>
          <w:p>
            <w:r>
              <w:rPr>
                <w:sz w:val="19"/>
                <w:szCs w:val="19"/>
              </w:rPr>
              <w:t xml:space="preserve">List (name, default rate)</w:t>
            </w:r>
          </w:p>
        </w:tc>
        <w:tc>
          <w:tcPr>
            <w:tcW w:type="dxa" w:w="2200"/>
            <w:shd w:fill="DCE6F1" w:val="clear"/>
            <w:tcMar>
              <w:top w:type="dxa" w:w="60"/>
              <w:left w:type="dxa" w:w="80"/>
              <w:bottom w:type="dxa" w:w="60"/>
              <w:right w:type="dxa" w:w="80"/>
            </w:tcMar>
          </w:tcPr>
          <w:p>
            <w:r>
              <w:rPr>
                <w:sz w:val="19"/>
                <w:szCs w:val="19"/>
              </w:rPr>
              <w:t xml:space="preserve">Client Product Owner</w:t>
            </w:r>
          </w:p>
        </w:tc>
        <w:tc>
          <w:tcPr>
            <w:tcW w:type="dxa" w:w="2100"/>
            <w:shd w:fill="DCE6F1" w:val="clear"/>
            <w:tcMar>
              <w:top w:type="dxa" w:w="60"/>
              <w:left w:type="dxa" w:w="80"/>
              <w:bottom w:type="dxa" w:w="60"/>
              <w:right w:type="dxa" w:w="80"/>
            </w:tcMar>
          </w:tcPr>
          <w:p>
            <w:r>
              <w:rPr>
                <w:sz w:val="19"/>
                <w:szCs w:val="19"/>
              </w:rPr>
              <w:t xml:space="preserve">Section 7</w:t>
            </w:r>
          </w:p>
        </w:tc>
      </w:tr>
      <w:tr>
        <w:tc>
          <w:tcPr>
            <w:tcW w:type="dxa" w:w="2600"/>
            <w:shd w:fill="FFFFFF" w:val="clear"/>
            <w:tcMar>
              <w:top w:type="dxa" w:w="60"/>
              <w:left w:type="dxa" w:w="80"/>
              <w:bottom w:type="dxa" w:w="60"/>
              <w:right w:type="dxa" w:w="80"/>
            </w:tcMar>
          </w:tcPr>
          <w:p>
            <w:r>
              <w:rPr>
                <w:sz w:val="19"/>
                <w:szCs w:val="19"/>
              </w:rPr>
              <w:t xml:space="preserve">Base rate options (multi-select per product)</w:t>
            </w:r>
          </w:p>
        </w:tc>
        <w:tc>
          <w:tcPr>
            <w:tcW w:type="dxa" w:w="2400"/>
            <w:shd w:fill="FFFFFF" w:val="clear"/>
            <w:tcMar>
              <w:top w:type="dxa" w:w="60"/>
              <w:left w:type="dxa" w:w="80"/>
              <w:bottom w:type="dxa" w:w="60"/>
              <w:right w:type="dxa" w:w="80"/>
            </w:tcMar>
          </w:tcPr>
          <w:p>
            <w:r>
              <w:rPr>
                <w:sz w:val="19"/>
                <w:szCs w:val="19"/>
              </w:rPr>
              <w:t xml:space="preserve">List, e.g. LIBOR/SOFR successors</w:t>
            </w:r>
          </w:p>
        </w:tc>
        <w:tc>
          <w:tcPr>
            <w:tcW w:type="dxa" w:w="2200"/>
            <w:shd w:fill="FFFFFF" w:val="clear"/>
            <w:tcMar>
              <w:top w:type="dxa" w:w="60"/>
              <w:left w:type="dxa" w:w="80"/>
              <w:bottom w:type="dxa" w:w="60"/>
              <w:right w:type="dxa" w:w="80"/>
            </w:tcMar>
          </w:tcPr>
          <w:p>
            <w:r>
              <w:rPr>
                <w:sz w:val="19"/>
                <w:szCs w:val="19"/>
              </w:rPr>
              <w:t xml:space="preserve">Client Product Owner</w:t>
            </w:r>
          </w:p>
        </w:tc>
        <w:tc>
          <w:tcPr>
            <w:tcW w:type="dxa" w:w="2100"/>
            <w:shd w:fill="FFFFFF" w:val="clear"/>
            <w:tcMar>
              <w:top w:type="dxa" w:w="60"/>
              <w:left w:type="dxa" w:w="80"/>
              <w:bottom w:type="dxa" w:w="60"/>
              <w:right w:type="dxa" w:w="80"/>
            </w:tcMar>
          </w:tcPr>
          <w:p>
            <w:r>
              <w:rPr>
                <w:sz w:val="19"/>
                <w:szCs w:val="19"/>
              </w:rPr>
              <w:t xml:space="preserve">Noted in reference engagement as a live market-change risk</w:t>
            </w:r>
          </w:p>
        </w:tc>
      </w:tr>
      <w:tr>
        <w:tc>
          <w:tcPr>
            <w:tcW w:type="dxa" w:w="2600"/>
            <w:shd w:fill="DCE6F1" w:val="clear"/>
            <w:tcMar>
              <w:top w:type="dxa" w:w="60"/>
              <w:left w:type="dxa" w:w="80"/>
              <w:bottom w:type="dxa" w:w="60"/>
              <w:right w:type="dxa" w:w="80"/>
            </w:tcMar>
          </w:tcPr>
          <w:p>
            <w:r>
              <w:rPr>
                <w:sz w:val="19"/>
                <w:szCs w:val="19"/>
              </w:rPr>
              <w:t xml:space="preserve">Relationship/volume tiering thresholds</w:t>
            </w:r>
          </w:p>
        </w:tc>
        <w:tc>
          <w:tcPr>
            <w:tcW w:type="dxa" w:w="2400"/>
            <w:shd w:fill="DCE6F1" w:val="clear"/>
            <w:tcMar>
              <w:top w:type="dxa" w:w="60"/>
              <w:left w:type="dxa" w:w="80"/>
              <w:bottom w:type="dxa" w:w="60"/>
              <w:right w:type="dxa" w:w="80"/>
            </w:tcMar>
          </w:tcPr>
          <w:p>
            <w:r>
              <w:rPr>
                <w:sz w:val="19"/>
                <w:szCs w:val="19"/>
              </w:rPr>
              <w:t xml:space="preserve">Table per Section 17</w:t>
            </w:r>
          </w:p>
        </w:tc>
        <w:tc>
          <w:tcPr>
            <w:tcW w:type="dxa" w:w="2200"/>
            <w:shd w:fill="DCE6F1" w:val="clear"/>
            <w:tcMar>
              <w:top w:type="dxa" w:w="60"/>
              <w:left w:type="dxa" w:w="80"/>
              <w:bottom w:type="dxa" w:w="60"/>
              <w:right w:type="dxa" w:w="80"/>
            </w:tcMar>
          </w:tcPr>
          <w:p>
            <w:r>
              <w:rPr>
                <w:sz w:val="19"/>
                <w:szCs w:val="19"/>
              </w:rPr>
              <w:t xml:space="preserve">Client Product Owner</w:t>
            </w:r>
          </w:p>
        </w:tc>
        <w:tc>
          <w:tcPr>
            <w:tcW w:type="dxa" w:w="2100"/>
            <w:shd w:fill="DCE6F1" w:val="clear"/>
            <w:tcMar>
              <w:top w:type="dxa" w:w="60"/>
              <w:left w:type="dxa" w:w="80"/>
              <w:bottom w:type="dxa" w:w="60"/>
              <w:right w:type="dxa" w:w="80"/>
            </w:tcMar>
          </w:tcPr>
          <w:p>
            <w:r>
              <w:rPr>
                <w:sz w:val="19"/>
                <w:szCs w:val="19"/>
              </w:rPr>
              <w:t xml:space="preserve">Section 17</w:t>
            </w:r>
          </w:p>
        </w:tc>
      </w:tr>
      <w:tr>
        <w:tc>
          <w:tcPr>
            <w:tcW w:type="dxa" w:w="2600"/>
            <w:shd w:fill="FFFFFF" w:val="clear"/>
            <w:tcMar>
              <w:top w:type="dxa" w:w="60"/>
              <w:left w:type="dxa" w:w="80"/>
              <w:bottom w:type="dxa" w:w="60"/>
              <w:right w:type="dxa" w:w="80"/>
            </w:tcMar>
          </w:tcPr>
          <w:p>
            <w:r>
              <w:rPr>
                <w:sz w:val="19"/>
                <w:szCs w:val="19"/>
              </w:rPr>
              <w:t xml:space="preserve">ESG Module on/off</w:t>
            </w:r>
          </w:p>
        </w:tc>
        <w:tc>
          <w:tcPr>
            <w:tcW w:type="dxa" w:w="2400"/>
            <w:shd w:fill="FFFFFF" w:val="clear"/>
            <w:tcMar>
              <w:top w:type="dxa" w:w="60"/>
              <w:left w:type="dxa" w:w="80"/>
              <w:bottom w:type="dxa" w:w="60"/>
              <w:right w:type="dxa" w:w="80"/>
            </w:tcMar>
          </w:tcPr>
          <w:p>
            <w:r>
              <w:rPr>
                <w:sz w:val="19"/>
                <w:szCs w:val="19"/>
              </w:rPr>
              <w:t xml:space="preserve">Boolean, per client</w:t>
            </w:r>
          </w:p>
        </w:tc>
        <w:tc>
          <w:tcPr>
            <w:tcW w:type="dxa" w:w="2200"/>
            <w:shd w:fill="FFFFFF" w:val="clear"/>
            <w:tcMar>
              <w:top w:type="dxa" w:w="60"/>
              <w:left w:type="dxa" w:w="80"/>
              <w:bottom w:type="dxa" w:w="60"/>
              <w:right w:type="dxa" w:w="80"/>
            </w:tcMar>
          </w:tcPr>
          <w:p>
            <w:r>
              <w:rPr>
                <w:sz w:val="19"/>
                <w:szCs w:val="19"/>
              </w:rPr>
              <w:t xml:space="preserve">Client Admin</w:t>
            </w:r>
          </w:p>
        </w:tc>
        <w:tc>
          <w:tcPr>
            <w:tcW w:type="dxa" w:w="2100"/>
            <w:shd w:fill="FFFFFF" w:val="clear"/>
            <w:tcMar>
              <w:top w:type="dxa" w:w="60"/>
              <w:left w:type="dxa" w:w="80"/>
              <w:bottom w:type="dxa" w:w="60"/>
              <w:right w:type="dxa" w:w="80"/>
            </w:tcMar>
          </w:tcPr>
          <w:p>
            <w:r>
              <w:rPr>
                <w:sz w:val="19"/>
                <w:szCs w:val="19"/>
              </w:rPr>
              <w:t xml:space="preserve">Section 4 — optional module</w:t>
            </w:r>
          </w:p>
        </w:tc>
      </w:tr>
    </w:tbl>
    <w:p>
      <w:pPr>
        <w:pStyle w:val="Heading2"/>
        <w:keepNext/>
        <w:spacing w:after="140" w:before="320"/>
      </w:pPr>
      <w:r>
        <w:rPr>
          <w:b/>
          <w:bCs/>
          <w:color w:val="2E5496"/>
          <w:sz w:val="26"/>
          <w:szCs w:val="26"/>
        </w:rPr>
        <w:t xml:space="preserve">18.7 User Management &amp; Identity Configuration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2000"/>
        <w:gridCol w:w="2600"/>
      </w:tblGrid>
      <w:tr>
        <w:trPr>
          <w:tblHeader/>
        </w:trPr>
        <w:tc>
          <w:tcPr>
            <w:tcW w:type="dxa" w:w="2800"/>
            <w:shd w:fill="1F3864" w:val="clear"/>
            <w:tcMar>
              <w:top w:type="dxa" w:w="60"/>
              <w:left w:type="dxa" w:w="80"/>
              <w:bottom w:type="dxa" w:w="60"/>
              <w:right w:type="dxa" w:w="80"/>
            </w:tcMar>
          </w:tcPr>
          <w:p>
            <w:r>
              <w:rPr>
                <w:b/>
                <w:bCs/>
                <w:color w:val="FFFFFF"/>
                <w:sz w:val="19"/>
                <w:szCs w:val="19"/>
              </w:rPr>
              <w:t xml:space="preserve">Configuration Item</w:t>
            </w:r>
          </w:p>
        </w:tc>
        <w:tc>
          <w:tcPr>
            <w:tcW w:type="dxa" w:w="2600"/>
            <w:shd w:fill="1F3864" w:val="clear"/>
            <w:tcMar>
              <w:top w:type="dxa" w:w="60"/>
              <w:left w:type="dxa" w:w="80"/>
              <w:bottom w:type="dxa" w:w="60"/>
              <w:right w:type="dxa" w:w="80"/>
            </w:tcMar>
          </w:tcPr>
          <w:p>
            <w:r>
              <w:rPr>
                <w:b/>
                <w:bCs/>
                <w:color w:val="FFFFFF"/>
                <w:sz w:val="19"/>
                <w:szCs w:val="19"/>
              </w:rPr>
              <w:t xml:space="preserve">Type / Format</w:t>
            </w:r>
          </w:p>
        </w:tc>
        <w:tc>
          <w:tcPr>
            <w:tcW w:type="dxa" w:w="2000"/>
            <w:shd w:fill="1F3864" w:val="clear"/>
            <w:tcMar>
              <w:top w:type="dxa" w:w="60"/>
              <w:left w:type="dxa" w:w="80"/>
              <w:bottom w:type="dxa" w:w="60"/>
              <w:right w:type="dxa" w:w="80"/>
            </w:tcMar>
          </w:tcPr>
          <w:p>
            <w:r>
              <w:rPr>
                <w:b/>
                <w:bCs/>
                <w:color w:val="FFFFFF"/>
                <w:sz w:val="19"/>
                <w:szCs w:val="19"/>
              </w:rPr>
              <w:t xml:space="preserve">Set By</w:t>
            </w:r>
          </w:p>
        </w:tc>
        <w:tc>
          <w:tcPr>
            <w:tcW w:type="dxa" w:w="2600"/>
            <w:shd w:fill="1F3864" w:val="clear"/>
            <w:tcMar>
              <w:top w:type="dxa" w:w="60"/>
              <w:left w:type="dxa" w:w="80"/>
              <w:bottom w:type="dxa" w:w="60"/>
              <w:right w:type="dxa" w:w="80"/>
            </w:tcMar>
          </w:tcPr>
          <w:p>
            <w:r>
              <w:rPr>
                <w:b/>
                <w:bCs/>
                <w:color w:val="FFFFFF"/>
                <w:sz w:val="19"/>
                <w:szCs w:val="19"/>
              </w:rPr>
              <w:t xml:space="preserve">Example / Reference</w:t>
            </w:r>
          </w:p>
        </w:tc>
      </w:tr>
      <w:tr>
        <w:tc>
          <w:tcPr>
            <w:tcW w:type="dxa" w:w="2800"/>
            <w:shd w:fill="FFFFFF" w:val="clear"/>
            <w:tcMar>
              <w:top w:type="dxa" w:w="60"/>
              <w:left w:type="dxa" w:w="80"/>
              <w:bottom w:type="dxa" w:w="60"/>
              <w:right w:type="dxa" w:w="80"/>
            </w:tcMar>
          </w:tcPr>
          <w:p>
            <w:r>
              <w:rPr>
                <w:sz w:val="19"/>
                <w:szCs w:val="19"/>
              </w:rPr>
              <w:t xml:space="preserve">Identity Provider connection</w:t>
            </w:r>
          </w:p>
        </w:tc>
        <w:tc>
          <w:tcPr>
            <w:tcW w:type="dxa" w:w="2600"/>
            <w:shd w:fill="FFFFFF" w:val="clear"/>
            <w:tcMar>
              <w:top w:type="dxa" w:w="60"/>
              <w:left w:type="dxa" w:w="80"/>
              <w:bottom w:type="dxa" w:w="60"/>
              <w:right w:type="dxa" w:w="80"/>
            </w:tcMar>
          </w:tcPr>
          <w:p>
            <w:r>
              <w:rPr>
                <w:sz w:val="19"/>
                <w:szCs w:val="19"/>
              </w:rPr>
              <w:t xml:space="preserve">SAML 2.0 or OIDC metadata/endpoint</w:t>
            </w:r>
          </w:p>
        </w:tc>
        <w:tc>
          <w:tcPr>
            <w:tcW w:type="dxa" w:w="2000"/>
            <w:shd w:fill="FFFFFF" w:val="clear"/>
            <w:tcMar>
              <w:top w:type="dxa" w:w="60"/>
              <w:left w:type="dxa" w:w="80"/>
              <w:bottom w:type="dxa" w:w="60"/>
              <w:right w:type="dxa" w:w="80"/>
            </w:tcMar>
          </w:tcPr>
          <w:p>
            <w:r>
              <w:rPr>
                <w:sz w:val="19"/>
                <w:szCs w:val="19"/>
              </w:rPr>
              <w:t xml:space="preserve">Client IT + Implementation Team</w:t>
            </w:r>
          </w:p>
        </w:tc>
        <w:tc>
          <w:tcPr>
            <w:tcW w:type="dxa" w:w="2600"/>
            <w:shd w:fill="FFFFFF" w:val="clear"/>
            <w:tcMar>
              <w:top w:type="dxa" w:w="60"/>
              <w:left w:type="dxa" w:w="80"/>
              <w:bottom w:type="dxa" w:w="60"/>
              <w:right w:type="dxa" w:w="80"/>
            </w:tcMar>
          </w:tcPr>
          <w:p>
            <w:r>
              <w:rPr>
                <w:sz w:val="19"/>
                <w:szCs w:val="19"/>
              </w:rPr>
              <w:t xml:space="preserve">Section 22.2</w:t>
            </w:r>
          </w:p>
        </w:tc>
      </w:tr>
      <w:tr>
        <w:tc>
          <w:tcPr>
            <w:tcW w:type="dxa" w:w="2800"/>
            <w:shd w:fill="DCE6F1" w:val="clear"/>
            <w:tcMar>
              <w:top w:type="dxa" w:w="60"/>
              <w:left w:type="dxa" w:w="80"/>
              <w:bottom w:type="dxa" w:w="60"/>
              <w:right w:type="dxa" w:w="80"/>
            </w:tcMar>
          </w:tcPr>
          <w:p>
            <w:r>
              <w:rPr>
                <w:sz w:val="19"/>
                <w:szCs w:val="19"/>
              </w:rPr>
              <w:t xml:space="preserve">AD/LDAP directory sync (if used)</w:t>
            </w:r>
          </w:p>
        </w:tc>
        <w:tc>
          <w:tcPr>
            <w:tcW w:type="dxa" w:w="2600"/>
            <w:shd w:fill="DCE6F1" w:val="clear"/>
            <w:tcMar>
              <w:top w:type="dxa" w:w="60"/>
              <w:left w:type="dxa" w:w="80"/>
              <w:bottom w:type="dxa" w:w="60"/>
              <w:right w:type="dxa" w:w="80"/>
            </w:tcMar>
          </w:tcPr>
          <w:p>
            <w:r>
              <w:rPr>
                <w:sz w:val="19"/>
                <w:szCs w:val="19"/>
              </w:rPr>
              <w:t xml:space="preserve">Connection config + sync schedule</w:t>
            </w:r>
          </w:p>
        </w:tc>
        <w:tc>
          <w:tcPr>
            <w:tcW w:type="dxa" w:w="2000"/>
            <w:shd w:fill="DCE6F1" w:val="clear"/>
            <w:tcMar>
              <w:top w:type="dxa" w:w="60"/>
              <w:left w:type="dxa" w:w="80"/>
              <w:bottom w:type="dxa" w:w="60"/>
              <w:right w:type="dxa" w:w="80"/>
            </w:tcMar>
          </w:tcPr>
          <w:p>
            <w:r>
              <w:rPr>
                <w:sz w:val="19"/>
                <w:szCs w:val="19"/>
              </w:rPr>
              <w:t xml:space="preserve">Client IT</w:t>
            </w:r>
          </w:p>
        </w:tc>
        <w:tc>
          <w:tcPr>
            <w:tcW w:type="dxa" w:w="2600"/>
            <w:shd w:fill="DCE6F1" w:val="clear"/>
            <w:tcMar>
              <w:top w:type="dxa" w:w="60"/>
              <w:left w:type="dxa" w:w="80"/>
              <w:bottom w:type="dxa" w:w="60"/>
              <w:right w:type="dxa" w:w="80"/>
            </w:tcMar>
          </w:tcPr>
          <w:p>
            <w:r>
              <w:rPr>
                <w:sz w:val="19"/>
                <w:szCs w:val="19"/>
              </w:rPr>
              <w:t xml:space="preserve">Section 22.2</w:t>
            </w:r>
          </w:p>
        </w:tc>
      </w:tr>
      <w:tr>
        <w:tc>
          <w:tcPr>
            <w:tcW w:type="dxa" w:w="2800"/>
            <w:shd w:fill="FFFFFF" w:val="clear"/>
            <w:tcMar>
              <w:top w:type="dxa" w:w="60"/>
              <w:left w:type="dxa" w:w="80"/>
              <w:bottom w:type="dxa" w:w="60"/>
              <w:right w:type="dxa" w:w="80"/>
            </w:tcMar>
          </w:tcPr>
          <w:p>
            <w:r>
              <w:rPr>
                <w:sz w:val="19"/>
                <w:szCs w:val="19"/>
              </w:rPr>
              <w:t xml:space="preserve">SCIM provisioning endpoint (if used)</w:t>
            </w:r>
          </w:p>
        </w:tc>
        <w:tc>
          <w:tcPr>
            <w:tcW w:type="dxa" w:w="2600"/>
            <w:shd w:fill="FFFFFF" w:val="clear"/>
            <w:tcMar>
              <w:top w:type="dxa" w:w="60"/>
              <w:left w:type="dxa" w:w="80"/>
              <w:bottom w:type="dxa" w:w="60"/>
              <w:right w:type="dxa" w:w="80"/>
            </w:tcMar>
          </w:tcPr>
          <w:p>
            <w:r>
              <w:rPr>
                <w:sz w:val="19"/>
                <w:szCs w:val="19"/>
              </w:rPr>
              <w:t xml:space="preserve">Connection config</w:t>
            </w:r>
          </w:p>
        </w:tc>
        <w:tc>
          <w:tcPr>
            <w:tcW w:type="dxa" w:w="2000"/>
            <w:shd w:fill="FFFFFF" w:val="clear"/>
            <w:tcMar>
              <w:top w:type="dxa" w:w="60"/>
              <w:left w:type="dxa" w:w="80"/>
              <w:bottom w:type="dxa" w:w="60"/>
              <w:right w:type="dxa" w:w="80"/>
            </w:tcMar>
          </w:tcPr>
          <w:p>
            <w:r>
              <w:rPr>
                <w:sz w:val="19"/>
                <w:szCs w:val="19"/>
              </w:rPr>
              <w:t xml:space="preserve">Client IT</w:t>
            </w:r>
          </w:p>
        </w:tc>
        <w:tc>
          <w:tcPr>
            <w:tcW w:type="dxa" w:w="2600"/>
            <w:shd w:fill="FFFFFF" w:val="clear"/>
            <w:tcMar>
              <w:top w:type="dxa" w:w="60"/>
              <w:left w:type="dxa" w:w="80"/>
              <w:bottom w:type="dxa" w:w="60"/>
              <w:right w:type="dxa" w:w="80"/>
            </w:tcMar>
          </w:tcPr>
          <w:p>
            <w:r>
              <w:rPr>
                <w:sz w:val="19"/>
                <w:szCs w:val="19"/>
              </w:rPr>
              <w:t xml:space="preserve">Section 22.3</w:t>
            </w:r>
          </w:p>
        </w:tc>
      </w:tr>
      <w:tr>
        <w:tc>
          <w:tcPr>
            <w:tcW w:type="dxa" w:w="2800"/>
            <w:shd w:fill="DCE6F1" w:val="clear"/>
            <w:tcMar>
              <w:top w:type="dxa" w:w="60"/>
              <w:left w:type="dxa" w:w="80"/>
              <w:bottom w:type="dxa" w:w="60"/>
              <w:right w:type="dxa" w:w="80"/>
            </w:tcMar>
          </w:tcPr>
          <w:p>
            <w:r>
              <w:rPr>
                <w:sz w:val="19"/>
                <w:szCs w:val="19"/>
              </w:rPr>
              <w:t xml:space="preserve">AD group → Platform role mapping</w:t>
            </w:r>
          </w:p>
        </w:tc>
        <w:tc>
          <w:tcPr>
            <w:tcW w:type="dxa" w:w="2600"/>
            <w:shd w:fill="DCE6F1" w:val="clear"/>
            <w:tcMar>
              <w:top w:type="dxa" w:w="60"/>
              <w:left w:type="dxa" w:w="80"/>
              <w:bottom w:type="dxa" w:w="60"/>
              <w:right w:type="dxa" w:w="80"/>
            </w:tcMar>
          </w:tcPr>
          <w:p>
            <w:r>
              <w:rPr>
                <w:sz w:val="19"/>
                <w:szCs w:val="19"/>
              </w:rPr>
              <w:t xml:space="preserve">Mapping table</w:t>
            </w:r>
          </w:p>
        </w:tc>
        <w:tc>
          <w:tcPr>
            <w:tcW w:type="dxa" w:w="2000"/>
            <w:shd w:fill="DCE6F1" w:val="clear"/>
            <w:tcMar>
              <w:top w:type="dxa" w:w="60"/>
              <w:left w:type="dxa" w:w="80"/>
              <w:bottom w:type="dxa" w:w="60"/>
              <w:right w:type="dxa" w:w="80"/>
            </w:tcMar>
          </w:tcPr>
          <w:p>
            <w:r>
              <w:rPr>
                <w:sz w:val="19"/>
                <w:szCs w:val="19"/>
              </w:rPr>
              <w:t xml:space="preserve">Client Admin</w:t>
            </w:r>
          </w:p>
        </w:tc>
        <w:tc>
          <w:tcPr>
            <w:tcW w:type="dxa" w:w="2600"/>
            <w:shd w:fill="DCE6F1" w:val="clear"/>
            <w:tcMar>
              <w:top w:type="dxa" w:w="60"/>
              <w:left w:type="dxa" w:w="80"/>
              <w:bottom w:type="dxa" w:w="60"/>
              <w:right w:type="dxa" w:w="80"/>
            </w:tcMar>
          </w:tcPr>
          <w:p>
            <w:r>
              <w:rPr>
                <w:sz w:val="19"/>
                <w:szCs w:val="19"/>
              </w:rPr>
              <w:t xml:space="preserve">Section 22.3 — never hardcoded</w:t>
            </w:r>
          </w:p>
        </w:tc>
      </w:tr>
      <w:tr>
        <w:tc>
          <w:tcPr>
            <w:tcW w:type="dxa" w:w="2800"/>
            <w:shd w:fill="FFFFFF" w:val="clear"/>
            <w:tcMar>
              <w:top w:type="dxa" w:w="60"/>
              <w:left w:type="dxa" w:w="80"/>
              <w:bottom w:type="dxa" w:w="60"/>
              <w:right w:type="dxa" w:w="80"/>
            </w:tcMar>
          </w:tcPr>
          <w:p>
            <w:r>
              <w:rPr>
                <w:sz w:val="19"/>
                <w:szCs w:val="19"/>
              </w:rPr>
              <w:t xml:space="preserve">MFA requirement</w:t>
            </w:r>
          </w:p>
        </w:tc>
        <w:tc>
          <w:tcPr>
            <w:tcW w:type="dxa" w:w="2600"/>
            <w:shd w:fill="FFFFFF" w:val="clear"/>
            <w:tcMar>
              <w:top w:type="dxa" w:w="60"/>
              <w:left w:type="dxa" w:w="80"/>
              <w:bottom w:type="dxa" w:w="60"/>
              <w:right w:type="dxa" w:w="80"/>
            </w:tcMar>
          </w:tcPr>
          <w:p>
            <w:r>
              <w:rPr>
                <w:sz w:val="19"/>
                <w:szCs w:val="19"/>
              </w:rPr>
              <w:t xml:space="preserve">Boolean / policy, per role</w:t>
            </w:r>
          </w:p>
        </w:tc>
        <w:tc>
          <w:tcPr>
            <w:tcW w:type="dxa" w:w="2000"/>
            <w:shd w:fill="FFFFFF" w:val="clear"/>
            <w:tcMar>
              <w:top w:type="dxa" w:w="60"/>
              <w:left w:type="dxa" w:w="80"/>
              <w:bottom w:type="dxa" w:w="60"/>
              <w:right w:type="dxa" w:w="80"/>
            </w:tcMar>
          </w:tcPr>
          <w:p>
            <w:r>
              <w:rPr>
                <w:sz w:val="19"/>
                <w:szCs w:val="19"/>
              </w:rPr>
              <w:t xml:space="preserve">Client Compliance Owner</w:t>
            </w:r>
          </w:p>
        </w:tc>
        <w:tc>
          <w:tcPr>
            <w:tcW w:type="dxa" w:w="2600"/>
            <w:shd w:fill="FFFFFF" w:val="clear"/>
            <w:tcMar>
              <w:top w:type="dxa" w:w="60"/>
              <w:left w:type="dxa" w:w="80"/>
              <w:bottom w:type="dxa" w:w="60"/>
              <w:right w:type="dxa" w:w="80"/>
            </w:tcMar>
          </w:tcPr>
          <w:p>
            <w:r>
              <w:rPr>
                <w:sz w:val="19"/>
                <w:szCs w:val="19"/>
              </w:rPr>
              <w:t xml:space="preserve">Section 22.2 — typically regulator-mandated</w:t>
            </w:r>
          </w:p>
        </w:tc>
      </w:tr>
      <w:tr>
        <w:tc>
          <w:tcPr>
            <w:tcW w:type="dxa" w:w="2800"/>
            <w:shd w:fill="DCE6F1" w:val="clear"/>
            <w:tcMar>
              <w:top w:type="dxa" w:w="60"/>
              <w:left w:type="dxa" w:w="80"/>
              <w:bottom w:type="dxa" w:w="60"/>
              <w:right w:type="dxa" w:w="80"/>
            </w:tcMar>
          </w:tcPr>
          <w:p>
            <w:r>
              <w:rPr>
                <w:sz w:val="19"/>
                <w:szCs w:val="19"/>
              </w:rPr>
              <w:t xml:space="preserve">Session timeout &amp; concurrent session limit</w:t>
            </w:r>
          </w:p>
        </w:tc>
        <w:tc>
          <w:tcPr>
            <w:tcW w:type="dxa" w:w="2600"/>
            <w:shd w:fill="DCE6F1" w:val="clear"/>
            <w:tcMar>
              <w:top w:type="dxa" w:w="60"/>
              <w:left w:type="dxa" w:w="80"/>
              <w:bottom w:type="dxa" w:w="60"/>
              <w:right w:type="dxa" w:w="80"/>
            </w:tcMar>
          </w:tcPr>
          <w:p>
            <w:r>
              <w:rPr>
                <w:sz w:val="19"/>
                <w:szCs w:val="19"/>
              </w:rPr>
              <w:t xml:space="preserve">Duration / count</w:t>
            </w:r>
          </w:p>
        </w:tc>
        <w:tc>
          <w:tcPr>
            <w:tcW w:type="dxa" w:w="2000"/>
            <w:shd w:fill="DCE6F1" w:val="clear"/>
            <w:tcMar>
              <w:top w:type="dxa" w:w="60"/>
              <w:left w:type="dxa" w:w="80"/>
              <w:bottom w:type="dxa" w:w="60"/>
              <w:right w:type="dxa" w:w="80"/>
            </w:tcMar>
          </w:tcPr>
          <w:p>
            <w:r>
              <w:rPr>
                <w:sz w:val="19"/>
                <w:szCs w:val="19"/>
              </w:rPr>
              <w:t xml:space="preserve">Client IT</w:t>
            </w:r>
          </w:p>
        </w:tc>
        <w:tc>
          <w:tcPr>
            <w:tcW w:type="dxa" w:w="2600"/>
            <w:shd w:fill="DCE6F1" w:val="clear"/>
            <w:tcMar>
              <w:top w:type="dxa" w:w="60"/>
              <w:left w:type="dxa" w:w="80"/>
              <w:bottom w:type="dxa" w:w="60"/>
              <w:right w:type="dxa" w:w="80"/>
            </w:tcMar>
          </w:tcPr>
          <w:p>
            <w:r>
              <w:rPr>
                <w:sz w:val="19"/>
                <w:szCs w:val="19"/>
              </w:rPr>
              <w:t xml:space="preserve">Section 22.2</w:t>
            </w:r>
          </w:p>
        </w:tc>
      </w:tr>
      <w:tr>
        <w:tc>
          <w:tcPr>
            <w:tcW w:type="dxa" w:w="2800"/>
            <w:shd w:fill="FFFFFF" w:val="clear"/>
            <w:tcMar>
              <w:top w:type="dxa" w:w="60"/>
              <w:left w:type="dxa" w:w="80"/>
              <w:bottom w:type="dxa" w:w="60"/>
              <w:right w:type="dxa" w:w="80"/>
            </w:tcMar>
          </w:tcPr>
          <w:p>
            <w:r>
              <w:rPr>
                <w:sz w:val="19"/>
                <w:szCs w:val="19"/>
              </w:rPr>
              <w:t xml:space="preserve">Deprovisioning SLA</w:t>
            </w:r>
          </w:p>
        </w:tc>
        <w:tc>
          <w:tcPr>
            <w:tcW w:type="dxa" w:w="2600"/>
            <w:shd w:fill="FFFFFF" w:val="clear"/>
            <w:tcMar>
              <w:top w:type="dxa" w:w="60"/>
              <w:left w:type="dxa" w:w="80"/>
              <w:bottom w:type="dxa" w:w="60"/>
              <w:right w:type="dxa" w:w="80"/>
            </w:tcMar>
          </w:tcPr>
          <w:p>
            <w:r>
              <w:rPr>
                <w:sz w:val="19"/>
                <w:szCs w:val="19"/>
              </w:rPr>
              <w:t xml:space="preserve">Hours from termination event to access revocation</w:t>
            </w:r>
          </w:p>
        </w:tc>
        <w:tc>
          <w:tcPr>
            <w:tcW w:type="dxa" w:w="2000"/>
            <w:shd w:fill="FFFFFF" w:val="clear"/>
            <w:tcMar>
              <w:top w:type="dxa" w:w="60"/>
              <w:left w:type="dxa" w:w="80"/>
              <w:bottom w:type="dxa" w:w="60"/>
              <w:right w:type="dxa" w:w="80"/>
            </w:tcMar>
          </w:tcPr>
          <w:p>
            <w:r>
              <w:rPr>
                <w:sz w:val="19"/>
                <w:szCs w:val="19"/>
              </w:rPr>
              <w:t xml:space="preserve">Client Compliance Owner</w:t>
            </w:r>
          </w:p>
        </w:tc>
        <w:tc>
          <w:tcPr>
            <w:tcW w:type="dxa" w:w="2600"/>
            <w:shd w:fill="FFFFFF" w:val="clear"/>
            <w:tcMar>
              <w:top w:type="dxa" w:w="60"/>
              <w:left w:type="dxa" w:w="80"/>
              <w:bottom w:type="dxa" w:w="60"/>
              <w:right w:type="dxa" w:w="80"/>
            </w:tcMar>
          </w:tcPr>
          <w:p>
            <w:r>
              <w:rPr>
                <w:sz w:val="19"/>
                <w:szCs w:val="19"/>
              </w:rPr>
              <w:t xml:space="preserve">Section 22.5</w:t>
            </w:r>
          </w:p>
        </w:tc>
      </w:tr>
      <w:tr>
        <w:tc>
          <w:tcPr>
            <w:tcW w:type="dxa" w:w="2800"/>
            <w:shd w:fill="DCE6F1" w:val="clear"/>
            <w:tcMar>
              <w:top w:type="dxa" w:w="60"/>
              <w:left w:type="dxa" w:w="80"/>
              <w:bottom w:type="dxa" w:w="60"/>
              <w:right w:type="dxa" w:w="80"/>
            </w:tcMar>
          </w:tcPr>
          <w:p>
            <w:r>
              <w:rPr>
                <w:sz w:val="19"/>
                <w:szCs w:val="19"/>
              </w:rPr>
              <w:t xml:space="preserve">Access recertification cycle</w:t>
            </w:r>
          </w:p>
        </w:tc>
        <w:tc>
          <w:tcPr>
            <w:tcW w:type="dxa" w:w="2600"/>
            <w:shd w:fill="DCE6F1" w:val="clear"/>
            <w:tcMar>
              <w:top w:type="dxa" w:w="60"/>
              <w:left w:type="dxa" w:w="80"/>
              <w:bottom w:type="dxa" w:w="60"/>
              <w:right w:type="dxa" w:w="80"/>
            </w:tcMar>
          </w:tcPr>
          <w:p>
            <w:r>
              <w:rPr>
                <w:sz w:val="19"/>
                <w:szCs w:val="19"/>
              </w:rPr>
              <w:t xml:space="preserve">Frequency (e.g. quarterly)</w:t>
            </w:r>
          </w:p>
        </w:tc>
        <w:tc>
          <w:tcPr>
            <w:tcW w:type="dxa" w:w="2000"/>
            <w:shd w:fill="DCE6F1" w:val="clear"/>
            <w:tcMar>
              <w:top w:type="dxa" w:w="60"/>
              <w:left w:type="dxa" w:w="80"/>
              <w:bottom w:type="dxa" w:w="60"/>
              <w:right w:type="dxa" w:w="80"/>
            </w:tcMar>
          </w:tcPr>
          <w:p>
            <w:r>
              <w:rPr>
                <w:sz w:val="19"/>
                <w:szCs w:val="19"/>
              </w:rPr>
              <w:t xml:space="preserve">Client Compliance Owner</w:t>
            </w:r>
          </w:p>
        </w:tc>
        <w:tc>
          <w:tcPr>
            <w:tcW w:type="dxa" w:w="2600"/>
            <w:shd w:fill="DCE6F1" w:val="clear"/>
            <w:tcMar>
              <w:top w:type="dxa" w:w="60"/>
              <w:left w:type="dxa" w:w="80"/>
              <w:bottom w:type="dxa" w:w="60"/>
              <w:right w:type="dxa" w:w="80"/>
            </w:tcMar>
          </w:tcPr>
          <w:p>
            <w:r>
              <w:rPr>
                <w:sz w:val="19"/>
                <w:szCs w:val="19"/>
              </w:rPr>
              <w:t xml:space="preserve">Section 22.5</w:t>
            </w:r>
          </w:p>
        </w:tc>
      </w:tr>
      <w:tr>
        <w:tc>
          <w:tcPr>
            <w:tcW w:type="dxa" w:w="2800"/>
            <w:shd w:fill="FFFFFF" w:val="clear"/>
            <w:tcMar>
              <w:top w:type="dxa" w:w="60"/>
              <w:left w:type="dxa" w:w="80"/>
              <w:bottom w:type="dxa" w:w="60"/>
              <w:right w:type="dxa" w:w="80"/>
            </w:tcMar>
          </w:tcPr>
          <w:p>
            <w:r>
              <w:rPr>
                <w:sz w:val="19"/>
                <w:szCs w:val="19"/>
              </w:rPr>
              <w:t xml:space="preserve">Task delegation permission</w:t>
            </w:r>
          </w:p>
        </w:tc>
        <w:tc>
          <w:tcPr>
            <w:tcW w:type="dxa" w:w="2600"/>
            <w:shd w:fill="FFFFFF" w:val="clear"/>
            <w:tcMar>
              <w:top w:type="dxa" w:w="60"/>
              <w:left w:type="dxa" w:w="80"/>
              <w:bottom w:type="dxa" w:w="60"/>
              <w:right w:type="dxa" w:w="80"/>
            </w:tcMar>
          </w:tcPr>
          <w:p>
            <w:r>
              <w:rPr>
                <w:sz w:val="19"/>
                <w:szCs w:val="19"/>
              </w:rPr>
              <w:t xml:space="preserve">Role → allowed to delegate (Y/N)</w:t>
            </w:r>
          </w:p>
        </w:tc>
        <w:tc>
          <w:tcPr>
            <w:tcW w:type="dxa" w:w="2000"/>
            <w:shd w:fill="FFFFFF" w:val="clear"/>
            <w:tcMar>
              <w:top w:type="dxa" w:w="60"/>
              <w:left w:type="dxa" w:w="80"/>
              <w:bottom w:type="dxa" w:w="60"/>
              <w:right w:type="dxa" w:w="80"/>
            </w:tcMar>
          </w:tcPr>
          <w:p>
            <w:r>
              <w:rPr>
                <w:sz w:val="19"/>
                <w:szCs w:val="19"/>
              </w:rPr>
              <w:t xml:space="preserve">Client Admin</w:t>
            </w:r>
          </w:p>
        </w:tc>
        <w:tc>
          <w:tcPr>
            <w:tcW w:type="dxa" w:w="2600"/>
            <w:shd w:fill="FFFFFF" w:val="clear"/>
            <w:tcMar>
              <w:top w:type="dxa" w:w="60"/>
              <w:left w:type="dxa" w:w="80"/>
              <w:bottom w:type="dxa" w:w="60"/>
              <w:right w:type="dxa" w:w="80"/>
            </w:tcMar>
          </w:tcPr>
          <w:p>
            <w:r>
              <w:rPr>
                <w:sz w:val="19"/>
                <w:szCs w:val="19"/>
              </w:rPr>
              <w:t xml:space="preserve">Section 22.1 — resolves an item the reference engagement itself left open</w:t>
            </w:r>
          </w:p>
        </w:tc>
      </w:tr>
    </w:tbl>
    <w:p>
      <w:pPr>
        <w:pStyle w:val="Heading2"/>
        <w:keepNext/>
        <w:spacing w:after="140" w:before="320"/>
      </w:pPr>
      <w:r>
        <w:rPr>
          <w:b/>
          <w:bCs/>
          <w:color w:val="2E5496"/>
          <w:sz w:val="26"/>
          <w:szCs w:val="26"/>
        </w:rPr>
        <w:t xml:space="preserve">18.8 Covenant Monitoring Configuration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2200"/>
        <w:gridCol w:w="2400"/>
      </w:tblGrid>
      <w:tr>
        <w:trPr>
          <w:tblHeader/>
        </w:trPr>
        <w:tc>
          <w:tcPr>
            <w:tcW w:type="dxa" w:w="2800"/>
            <w:shd w:fill="1F3864" w:val="clear"/>
            <w:tcMar>
              <w:top w:type="dxa" w:w="60"/>
              <w:left w:type="dxa" w:w="80"/>
              <w:bottom w:type="dxa" w:w="60"/>
              <w:right w:type="dxa" w:w="80"/>
            </w:tcMar>
          </w:tcPr>
          <w:p>
            <w:r>
              <w:rPr>
                <w:b/>
                <w:bCs/>
                <w:color w:val="FFFFFF"/>
                <w:sz w:val="19"/>
                <w:szCs w:val="19"/>
              </w:rPr>
              <w:t xml:space="preserve">Configuration Item</w:t>
            </w:r>
          </w:p>
        </w:tc>
        <w:tc>
          <w:tcPr>
            <w:tcW w:type="dxa" w:w="2600"/>
            <w:shd w:fill="1F3864" w:val="clear"/>
            <w:tcMar>
              <w:top w:type="dxa" w:w="60"/>
              <w:left w:type="dxa" w:w="80"/>
              <w:bottom w:type="dxa" w:w="60"/>
              <w:right w:type="dxa" w:w="80"/>
            </w:tcMar>
          </w:tcPr>
          <w:p>
            <w:r>
              <w:rPr>
                <w:b/>
                <w:bCs/>
                <w:color w:val="FFFFFF"/>
                <w:sz w:val="19"/>
                <w:szCs w:val="19"/>
              </w:rPr>
              <w:t xml:space="preserve">Type / Format</w:t>
            </w:r>
          </w:p>
        </w:tc>
        <w:tc>
          <w:tcPr>
            <w:tcW w:type="dxa" w:w="2200"/>
            <w:shd w:fill="1F3864" w:val="clear"/>
            <w:tcMar>
              <w:top w:type="dxa" w:w="60"/>
              <w:left w:type="dxa" w:w="80"/>
              <w:bottom w:type="dxa" w:w="60"/>
              <w:right w:type="dxa" w:w="80"/>
            </w:tcMar>
          </w:tcPr>
          <w:p>
            <w:r>
              <w:rPr>
                <w:b/>
                <w:bCs/>
                <w:color w:val="FFFFFF"/>
                <w:sz w:val="19"/>
                <w:szCs w:val="19"/>
              </w:rPr>
              <w:t xml:space="preserve">Set By</w:t>
            </w:r>
          </w:p>
        </w:tc>
        <w:tc>
          <w:tcPr>
            <w:tcW w:type="dxa" w:w="2400"/>
            <w:shd w:fill="1F3864" w:val="clear"/>
            <w:tcMar>
              <w:top w:type="dxa" w:w="60"/>
              <w:left w:type="dxa" w:w="80"/>
              <w:bottom w:type="dxa" w:w="60"/>
              <w:right w:type="dxa" w:w="80"/>
            </w:tcMar>
          </w:tcPr>
          <w:p>
            <w:r>
              <w:rPr>
                <w:b/>
                <w:bCs/>
                <w:color w:val="FFFFFF"/>
                <w:sz w:val="19"/>
                <w:szCs w:val="19"/>
              </w:rPr>
              <w:t xml:space="preserve">Example / Reference</w:t>
            </w:r>
          </w:p>
        </w:tc>
      </w:tr>
      <w:tr>
        <w:tc>
          <w:tcPr>
            <w:tcW w:type="dxa" w:w="2800"/>
            <w:shd w:fill="FFFFFF" w:val="clear"/>
            <w:tcMar>
              <w:top w:type="dxa" w:w="60"/>
              <w:left w:type="dxa" w:w="80"/>
              <w:bottom w:type="dxa" w:w="60"/>
              <w:right w:type="dxa" w:w="80"/>
            </w:tcMar>
          </w:tcPr>
          <w:p>
            <w:r>
              <w:rPr>
                <w:sz w:val="19"/>
                <w:szCs w:val="19"/>
              </w:rPr>
              <w:t xml:space="preserve">Default testing frequency, by covenant type</w:t>
            </w:r>
          </w:p>
        </w:tc>
        <w:tc>
          <w:tcPr>
            <w:tcW w:type="dxa" w:w="2600"/>
            <w:shd w:fill="FFFFFF" w:val="clear"/>
            <w:tcMar>
              <w:top w:type="dxa" w:w="60"/>
              <w:left w:type="dxa" w:w="80"/>
              <w:bottom w:type="dxa" w:w="60"/>
              <w:right w:type="dxa" w:w="80"/>
            </w:tcMar>
          </w:tcPr>
          <w:p>
            <w:r>
              <w:rPr>
                <w:sz w:val="19"/>
                <w:szCs w:val="19"/>
              </w:rPr>
              <w:t xml:space="preserve">Enum per type (Quarterly/Semi-Annual/Annual/Per Drawdown)</w:t>
            </w:r>
          </w:p>
        </w:tc>
        <w:tc>
          <w:tcPr>
            <w:tcW w:type="dxa" w:w="2200"/>
            <w:shd w:fill="FFFFFF" w:val="clear"/>
            <w:tcMar>
              <w:top w:type="dxa" w:w="60"/>
              <w:left w:type="dxa" w:w="80"/>
              <w:bottom w:type="dxa" w:w="60"/>
              <w:right w:type="dxa" w:w="80"/>
            </w:tcMar>
          </w:tcPr>
          <w:p>
            <w:r>
              <w:rPr>
                <w:sz w:val="19"/>
                <w:szCs w:val="19"/>
              </w:rPr>
              <w:t xml:space="preserve">Client Credit Policy Owner</w:t>
            </w:r>
          </w:p>
        </w:tc>
        <w:tc>
          <w:tcPr>
            <w:tcW w:type="dxa" w:w="2400"/>
            <w:shd w:fill="FFFFFF" w:val="clear"/>
            <w:tcMar>
              <w:top w:type="dxa" w:w="60"/>
              <w:left w:type="dxa" w:w="80"/>
              <w:bottom w:type="dxa" w:w="60"/>
              <w:right w:type="dxa" w:w="80"/>
            </w:tcMar>
          </w:tcPr>
          <w:p>
            <w:r>
              <w:rPr>
                <w:sz w:val="19"/>
                <w:szCs w:val="19"/>
              </w:rPr>
              <w:t xml:space="preserve">Section 23.2</w:t>
            </w:r>
          </w:p>
        </w:tc>
      </w:tr>
      <w:tr>
        <w:tc>
          <w:tcPr>
            <w:tcW w:type="dxa" w:w="2800"/>
            <w:shd w:fill="DCE6F1" w:val="clear"/>
            <w:tcMar>
              <w:top w:type="dxa" w:w="60"/>
              <w:left w:type="dxa" w:w="80"/>
              <w:bottom w:type="dxa" w:w="60"/>
              <w:right w:type="dxa" w:w="80"/>
            </w:tcMar>
          </w:tcPr>
          <w:p>
            <w:r>
              <w:rPr>
                <w:sz w:val="19"/>
                <w:szCs w:val="19"/>
              </w:rPr>
              <w:t xml:space="preserve">Default grace/cure period</w:t>
            </w:r>
          </w:p>
        </w:tc>
        <w:tc>
          <w:tcPr>
            <w:tcW w:type="dxa" w:w="2600"/>
            <w:shd w:fill="DCE6F1" w:val="clear"/>
            <w:tcMar>
              <w:top w:type="dxa" w:w="60"/>
              <w:left w:type="dxa" w:w="80"/>
              <w:bottom w:type="dxa" w:w="60"/>
              <w:right w:type="dxa" w:w="80"/>
            </w:tcMar>
          </w:tcPr>
          <w:p>
            <w:r>
              <w:rPr>
                <w:sz w:val="19"/>
                <w:szCs w:val="19"/>
              </w:rPr>
              <w:t xml:space="preserve">Days, by covenant type</w:t>
            </w:r>
          </w:p>
        </w:tc>
        <w:tc>
          <w:tcPr>
            <w:tcW w:type="dxa" w:w="2200"/>
            <w:shd w:fill="DCE6F1" w:val="clear"/>
            <w:tcMar>
              <w:top w:type="dxa" w:w="60"/>
              <w:left w:type="dxa" w:w="80"/>
              <w:bottom w:type="dxa" w:w="60"/>
              <w:right w:type="dxa" w:w="80"/>
            </w:tcMar>
          </w:tcPr>
          <w:p>
            <w:r>
              <w:rPr>
                <w:sz w:val="19"/>
                <w:szCs w:val="19"/>
              </w:rPr>
              <w:t xml:space="preserve">Client Credit Policy Owner</w:t>
            </w:r>
          </w:p>
        </w:tc>
        <w:tc>
          <w:tcPr>
            <w:tcW w:type="dxa" w:w="2400"/>
            <w:shd w:fill="DCE6F1" w:val="clear"/>
            <w:tcMar>
              <w:top w:type="dxa" w:w="60"/>
              <w:left w:type="dxa" w:w="80"/>
              <w:bottom w:type="dxa" w:w="60"/>
              <w:right w:type="dxa" w:w="80"/>
            </w:tcMar>
          </w:tcPr>
          <w:p>
            <w:r>
              <w:rPr>
                <w:sz w:val="19"/>
                <w:szCs w:val="19"/>
              </w:rPr>
              <w:t xml:space="preserve">Section 23.2</w:t>
            </w:r>
          </w:p>
        </w:tc>
      </w:tr>
      <w:tr>
        <w:tc>
          <w:tcPr>
            <w:tcW w:type="dxa" w:w="2800"/>
            <w:shd w:fill="FFFFFF" w:val="clear"/>
            <w:tcMar>
              <w:top w:type="dxa" w:w="60"/>
              <w:left w:type="dxa" w:w="80"/>
              <w:bottom w:type="dxa" w:w="60"/>
              <w:right w:type="dxa" w:w="80"/>
            </w:tcMar>
          </w:tcPr>
          <w:p>
            <w:r>
              <w:rPr>
                <w:sz w:val="19"/>
                <w:szCs w:val="19"/>
              </w:rPr>
              <w:t xml:space="preserve">Test-logging SLA</w:t>
            </w:r>
          </w:p>
        </w:tc>
        <w:tc>
          <w:tcPr>
            <w:tcW w:type="dxa" w:w="2600"/>
            <w:shd w:fill="FFFFFF" w:val="clear"/>
            <w:tcMar>
              <w:top w:type="dxa" w:w="60"/>
              <w:left w:type="dxa" w:w="80"/>
              <w:bottom w:type="dxa" w:w="60"/>
              <w:right w:type="dxa" w:w="80"/>
            </w:tcMar>
          </w:tcPr>
          <w:p>
            <w:r>
              <w:rPr>
                <w:sz w:val="19"/>
                <w:szCs w:val="19"/>
              </w:rPr>
              <w:t xml:space="preserve">Business days from due date</w:t>
            </w:r>
          </w:p>
        </w:tc>
        <w:tc>
          <w:tcPr>
            <w:tcW w:type="dxa" w:w="2200"/>
            <w:shd w:fill="FFFFFF" w:val="clear"/>
            <w:tcMar>
              <w:top w:type="dxa" w:w="60"/>
              <w:left w:type="dxa" w:w="80"/>
              <w:bottom w:type="dxa" w:w="60"/>
              <w:right w:type="dxa" w:w="80"/>
            </w:tcMar>
          </w:tcPr>
          <w:p>
            <w:r>
              <w:rPr>
                <w:sz w:val="19"/>
                <w:szCs w:val="19"/>
              </w:rPr>
              <w:t xml:space="preserve">Client Operations Owner</w:t>
            </w:r>
          </w:p>
        </w:tc>
        <w:tc>
          <w:tcPr>
            <w:tcW w:type="dxa" w:w="2400"/>
            <w:shd w:fill="FFFFFF" w:val="clear"/>
            <w:tcMar>
              <w:top w:type="dxa" w:w="60"/>
              <w:left w:type="dxa" w:w="80"/>
              <w:bottom w:type="dxa" w:w="60"/>
              <w:right w:type="dxa" w:w="80"/>
            </w:tcMar>
          </w:tcPr>
          <w:p>
            <w:r>
              <w:rPr>
                <w:sz w:val="19"/>
                <w:szCs w:val="19"/>
              </w:rPr>
              <w:t xml:space="preserve">Section 23.4</w:t>
            </w:r>
          </w:p>
        </w:tc>
      </w:tr>
      <w:tr>
        <w:tc>
          <w:tcPr>
            <w:tcW w:type="dxa" w:w="2800"/>
            <w:shd w:fill="DCE6F1" w:val="clear"/>
            <w:tcMar>
              <w:top w:type="dxa" w:w="60"/>
              <w:left w:type="dxa" w:w="80"/>
              <w:bottom w:type="dxa" w:w="60"/>
              <w:right w:type="dxa" w:w="80"/>
            </w:tcMar>
          </w:tcPr>
          <w:p>
            <w:r>
              <w:rPr>
                <w:sz w:val="19"/>
                <w:szCs w:val="19"/>
              </w:rPr>
              <w:t xml:space="preserve">Waiver approval authority, by covenant materiality</w:t>
            </w:r>
          </w:p>
        </w:tc>
        <w:tc>
          <w:tcPr>
            <w:tcW w:type="dxa" w:w="2600"/>
            <w:shd w:fill="DCE6F1" w:val="clear"/>
            <w:tcMar>
              <w:top w:type="dxa" w:w="60"/>
              <w:left w:type="dxa" w:w="80"/>
              <w:bottom w:type="dxa" w:w="60"/>
              <w:right w:type="dxa" w:w="80"/>
            </w:tcMar>
          </w:tcPr>
          <w:p>
            <w:r>
              <w:rPr>
                <w:sz w:val="19"/>
                <w:szCs w:val="19"/>
              </w:rPr>
              <w:t xml:space="preserve">Role/committee level</w:t>
            </w:r>
          </w:p>
        </w:tc>
        <w:tc>
          <w:tcPr>
            <w:tcW w:type="dxa" w:w="2200"/>
            <w:shd w:fill="DCE6F1" w:val="clear"/>
            <w:tcMar>
              <w:top w:type="dxa" w:w="60"/>
              <w:left w:type="dxa" w:w="80"/>
              <w:bottom w:type="dxa" w:w="60"/>
              <w:right w:type="dxa" w:w="80"/>
            </w:tcMar>
          </w:tcPr>
          <w:p>
            <w:r>
              <w:rPr>
                <w:sz w:val="19"/>
                <w:szCs w:val="19"/>
              </w:rPr>
              <w:t xml:space="preserve">Client Credit Policy Owner</w:t>
            </w:r>
          </w:p>
        </w:tc>
        <w:tc>
          <w:tcPr>
            <w:tcW w:type="dxa" w:w="2400"/>
            <w:shd w:fill="DCE6F1" w:val="clear"/>
            <w:tcMar>
              <w:top w:type="dxa" w:w="60"/>
              <w:left w:type="dxa" w:w="80"/>
              <w:bottom w:type="dxa" w:w="60"/>
              <w:right w:type="dxa" w:w="80"/>
            </w:tcMar>
          </w:tcPr>
          <w:p>
            <w:r>
              <w:rPr>
                <w:sz w:val="19"/>
                <w:szCs w:val="19"/>
              </w:rPr>
              <w:t xml:space="preserve">Section 23.5 — may reuse the Delegated Authority Matrix (Section 3.3)</w:t>
            </w:r>
          </w:p>
        </w:tc>
      </w:tr>
      <w:tr>
        <w:tc>
          <w:tcPr>
            <w:tcW w:type="dxa" w:w="2800"/>
            <w:shd w:fill="FFFFFF" w:val="clear"/>
            <w:tcMar>
              <w:top w:type="dxa" w:w="60"/>
              <w:left w:type="dxa" w:w="80"/>
              <w:bottom w:type="dxa" w:w="60"/>
              <w:right w:type="dxa" w:w="80"/>
            </w:tcMar>
          </w:tcPr>
          <w:p>
            <w:r>
              <w:rPr>
                <w:sz w:val="19"/>
                <w:szCs w:val="19"/>
              </w:rPr>
              <w:t xml:space="preserve">Breach escalation recipients</w:t>
            </w:r>
          </w:p>
        </w:tc>
        <w:tc>
          <w:tcPr>
            <w:tcW w:type="dxa" w:w="2600"/>
            <w:shd w:fill="FFFFFF" w:val="clear"/>
            <w:tcMar>
              <w:top w:type="dxa" w:w="60"/>
              <w:left w:type="dxa" w:w="80"/>
              <w:bottom w:type="dxa" w:w="60"/>
              <w:right w:type="dxa" w:w="80"/>
            </w:tcMar>
          </w:tcPr>
          <w:p>
            <w:r>
              <w:rPr>
                <w:sz w:val="19"/>
                <w:szCs w:val="19"/>
              </w:rPr>
              <w:t xml:space="preserve">Role(s)</w:t>
            </w:r>
          </w:p>
        </w:tc>
        <w:tc>
          <w:tcPr>
            <w:tcW w:type="dxa" w:w="2200"/>
            <w:shd w:fill="FFFFFF" w:val="clear"/>
            <w:tcMar>
              <w:top w:type="dxa" w:w="60"/>
              <w:left w:type="dxa" w:w="80"/>
              <w:bottom w:type="dxa" w:w="60"/>
              <w:right w:type="dxa" w:w="80"/>
            </w:tcMar>
          </w:tcPr>
          <w:p>
            <w:r>
              <w:rPr>
                <w:sz w:val="19"/>
                <w:szCs w:val="19"/>
              </w:rPr>
              <w:t xml:space="preserve">Client Admin</w:t>
            </w:r>
          </w:p>
        </w:tc>
        <w:tc>
          <w:tcPr>
            <w:tcW w:type="dxa" w:w="2400"/>
            <w:shd w:fill="FFFFFF" w:val="clear"/>
            <w:tcMar>
              <w:top w:type="dxa" w:w="60"/>
              <w:left w:type="dxa" w:w="80"/>
              <w:bottom w:type="dxa" w:w="60"/>
              <w:right w:type="dxa" w:w="80"/>
            </w:tcMar>
          </w:tcPr>
          <w:p>
            <w:r>
              <w:rPr>
                <w:sz w:val="19"/>
                <w:szCs w:val="19"/>
              </w:rPr>
              <w:t xml:space="preserve">Section 23.4</w:t>
            </w:r>
          </w:p>
        </w:tc>
      </w:tr>
      <w:tr>
        <w:tc>
          <w:tcPr>
            <w:tcW w:type="dxa" w:w="2800"/>
            <w:shd w:fill="DCE6F1" w:val="clear"/>
            <w:tcMar>
              <w:top w:type="dxa" w:w="60"/>
              <w:left w:type="dxa" w:w="80"/>
              <w:bottom w:type="dxa" w:w="60"/>
              <w:right w:type="dxa" w:w="80"/>
            </w:tcMar>
          </w:tcPr>
          <w:p>
            <w:r>
              <w:rPr>
                <w:sz w:val="19"/>
                <w:szCs w:val="19"/>
              </w:rPr>
              <w:t xml:space="preserve">Scheduler run frequency</w:t>
            </w:r>
          </w:p>
        </w:tc>
        <w:tc>
          <w:tcPr>
            <w:tcW w:type="dxa" w:w="2600"/>
            <w:shd w:fill="DCE6F1" w:val="clear"/>
            <w:tcMar>
              <w:top w:type="dxa" w:w="60"/>
              <w:left w:type="dxa" w:w="80"/>
              <w:bottom w:type="dxa" w:w="60"/>
              <w:right w:type="dxa" w:w="80"/>
            </w:tcMar>
          </w:tcPr>
          <w:p>
            <w:r>
              <w:rPr>
                <w:sz w:val="19"/>
                <w:szCs w:val="19"/>
              </w:rPr>
              <w:t xml:space="preserve">e.g. daily batch</w:t>
            </w:r>
          </w:p>
        </w:tc>
        <w:tc>
          <w:tcPr>
            <w:tcW w:type="dxa" w:w="2200"/>
            <w:shd w:fill="DCE6F1" w:val="clear"/>
            <w:tcMar>
              <w:top w:type="dxa" w:w="60"/>
              <w:left w:type="dxa" w:w="80"/>
              <w:bottom w:type="dxa" w:w="60"/>
              <w:right w:type="dxa" w:w="80"/>
            </w:tcMar>
          </w:tcPr>
          <w:p>
            <w:r>
              <w:rPr>
                <w:sz w:val="19"/>
                <w:szCs w:val="19"/>
              </w:rPr>
              <w:t xml:space="preserve">Client IT</w:t>
            </w:r>
          </w:p>
        </w:tc>
        <w:tc>
          <w:tcPr>
            <w:tcW w:type="dxa" w:w="2400"/>
            <w:shd w:fill="DCE6F1" w:val="clear"/>
            <w:tcMar>
              <w:top w:type="dxa" w:w="60"/>
              <w:left w:type="dxa" w:w="80"/>
              <w:bottom w:type="dxa" w:w="60"/>
              <w:right w:type="dxa" w:w="80"/>
            </w:tcMar>
          </w:tcPr>
          <w:p>
            <w:r>
              <w:rPr>
                <w:sz w:val="19"/>
                <w:szCs w:val="19"/>
              </w:rPr>
              <w:t xml:space="preserve">Section 23.4</w:t>
            </w:r>
          </w:p>
        </w:tc>
      </w:tr>
    </w:tbl>
    <w:p>
      <w:pPr>
        <w:pStyle w:val="Heading2"/>
        <w:keepNext/>
        <w:spacing w:after="140" w:before="320"/>
      </w:pPr>
      <w:r>
        <w:rPr>
          <w:b/>
          <w:bCs/>
          <w:color w:val="2E5496"/>
          <w:sz w:val="26"/>
          <w:szCs w:val="26"/>
        </w:rPr>
        <w:t xml:space="preserve">18.9 Deployment &amp; Hosting Configuration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2200"/>
        <w:gridCol w:w="2400"/>
      </w:tblGrid>
      <w:tr>
        <w:trPr>
          <w:tblHeader/>
        </w:trPr>
        <w:tc>
          <w:tcPr>
            <w:tcW w:type="dxa" w:w="2800"/>
            <w:shd w:fill="1F3864" w:val="clear"/>
            <w:tcMar>
              <w:top w:type="dxa" w:w="60"/>
              <w:left w:type="dxa" w:w="80"/>
              <w:bottom w:type="dxa" w:w="60"/>
              <w:right w:type="dxa" w:w="80"/>
            </w:tcMar>
          </w:tcPr>
          <w:p>
            <w:r>
              <w:rPr>
                <w:b/>
                <w:bCs/>
                <w:color w:val="FFFFFF"/>
                <w:sz w:val="19"/>
                <w:szCs w:val="19"/>
              </w:rPr>
              <w:t xml:space="preserve">Configuration Item</w:t>
            </w:r>
          </w:p>
        </w:tc>
        <w:tc>
          <w:tcPr>
            <w:tcW w:type="dxa" w:w="2600"/>
            <w:shd w:fill="1F3864" w:val="clear"/>
            <w:tcMar>
              <w:top w:type="dxa" w:w="60"/>
              <w:left w:type="dxa" w:w="80"/>
              <w:bottom w:type="dxa" w:w="60"/>
              <w:right w:type="dxa" w:w="80"/>
            </w:tcMar>
          </w:tcPr>
          <w:p>
            <w:r>
              <w:rPr>
                <w:b/>
                <w:bCs/>
                <w:color w:val="FFFFFF"/>
                <w:sz w:val="19"/>
                <w:szCs w:val="19"/>
              </w:rPr>
              <w:t xml:space="preserve">Type / Format</w:t>
            </w:r>
          </w:p>
        </w:tc>
        <w:tc>
          <w:tcPr>
            <w:tcW w:type="dxa" w:w="2200"/>
            <w:shd w:fill="1F3864" w:val="clear"/>
            <w:tcMar>
              <w:top w:type="dxa" w:w="60"/>
              <w:left w:type="dxa" w:w="80"/>
              <w:bottom w:type="dxa" w:w="60"/>
              <w:right w:type="dxa" w:w="80"/>
            </w:tcMar>
          </w:tcPr>
          <w:p>
            <w:r>
              <w:rPr>
                <w:b/>
                <w:bCs/>
                <w:color w:val="FFFFFF"/>
                <w:sz w:val="19"/>
                <w:szCs w:val="19"/>
              </w:rPr>
              <w:t xml:space="preserve">Set By</w:t>
            </w:r>
          </w:p>
        </w:tc>
        <w:tc>
          <w:tcPr>
            <w:tcW w:type="dxa" w:w="2400"/>
            <w:shd w:fill="1F3864" w:val="clear"/>
            <w:tcMar>
              <w:top w:type="dxa" w:w="60"/>
              <w:left w:type="dxa" w:w="80"/>
              <w:bottom w:type="dxa" w:w="60"/>
              <w:right w:type="dxa" w:w="80"/>
            </w:tcMar>
          </w:tcPr>
          <w:p>
            <w:r>
              <w:rPr>
                <w:b/>
                <w:bCs/>
                <w:color w:val="FFFFFF"/>
                <w:sz w:val="19"/>
                <w:szCs w:val="19"/>
              </w:rPr>
              <w:t xml:space="preserve">Example / Reference</w:t>
            </w:r>
          </w:p>
        </w:tc>
      </w:tr>
      <w:tr>
        <w:tc>
          <w:tcPr>
            <w:tcW w:type="dxa" w:w="2800"/>
            <w:shd w:fill="FFFFFF" w:val="clear"/>
            <w:tcMar>
              <w:top w:type="dxa" w:w="60"/>
              <w:left w:type="dxa" w:w="80"/>
              <w:bottom w:type="dxa" w:w="60"/>
              <w:right w:type="dxa" w:w="80"/>
            </w:tcMar>
          </w:tcPr>
          <w:p>
            <w:r>
              <w:rPr>
                <w:sz w:val="19"/>
                <w:szCs w:val="19"/>
              </w:rPr>
              <w:t xml:space="preserve">Deployment topology</w:t>
            </w:r>
          </w:p>
        </w:tc>
        <w:tc>
          <w:tcPr>
            <w:tcW w:type="dxa" w:w="2600"/>
            <w:shd w:fill="FFFFFF" w:val="clear"/>
            <w:tcMar>
              <w:top w:type="dxa" w:w="60"/>
              <w:left w:type="dxa" w:w="80"/>
              <w:bottom w:type="dxa" w:w="60"/>
              <w:right w:type="dxa" w:w="80"/>
            </w:tcMar>
          </w:tcPr>
          <w:p>
            <w:r>
              <w:rPr>
                <w:sz w:val="19"/>
                <w:szCs w:val="19"/>
              </w:rPr>
              <w:t xml:space="preserve">Dedicated instance / Shared multi-tenant / On-premise</w:t>
            </w:r>
          </w:p>
        </w:tc>
        <w:tc>
          <w:tcPr>
            <w:tcW w:type="dxa" w:w="2200"/>
            <w:shd w:fill="FFFFFF" w:val="clear"/>
            <w:tcMar>
              <w:top w:type="dxa" w:w="60"/>
              <w:left w:type="dxa" w:w="80"/>
              <w:bottom w:type="dxa" w:w="60"/>
              <w:right w:type="dxa" w:w="80"/>
            </w:tcMar>
          </w:tcPr>
          <w:p>
            <w:r>
              <w:rPr>
                <w:sz w:val="19"/>
                <w:szCs w:val="19"/>
              </w:rPr>
              <w:t xml:space="preserve">Client + Implementation Team</w:t>
            </w:r>
          </w:p>
        </w:tc>
        <w:tc>
          <w:tcPr>
            <w:tcW w:type="dxa" w:w="2400"/>
            <w:shd w:fill="FFFFFF" w:val="clear"/>
            <w:tcMar>
              <w:top w:type="dxa" w:w="60"/>
              <w:left w:type="dxa" w:w="80"/>
              <w:bottom w:type="dxa" w:w="60"/>
              <w:right w:type="dxa" w:w="80"/>
            </w:tcMar>
          </w:tcPr>
          <w:p>
            <w:r>
              <w:rPr>
                <w:sz w:val="19"/>
                <w:szCs w:val="19"/>
              </w:rPr>
              <w:t xml:space="preserve">Section 24.2 — decided once, at onboarding</w:t>
            </w:r>
          </w:p>
        </w:tc>
      </w:tr>
      <w:tr>
        <w:tc>
          <w:tcPr>
            <w:tcW w:type="dxa" w:w="2800"/>
            <w:shd w:fill="DCE6F1" w:val="clear"/>
            <w:tcMar>
              <w:top w:type="dxa" w:w="60"/>
              <w:left w:type="dxa" w:w="80"/>
              <w:bottom w:type="dxa" w:w="60"/>
              <w:right w:type="dxa" w:w="80"/>
            </w:tcMar>
          </w:tcPr>
          <w:p>
            <w:r>
              <w:rPr>
                <w:sz w:val="19"/>
                <w:szCs w:val="19"/>
              </w:rPr>
              <w:t xml:space="preserve">Data residency region/country</w:t>
            </w:r>
          </w:p>
        </w:tc>
        <w:tc>
          <w:tcPr>
            <w:tcW w:type="dxa" w:w="2600"/>
            <w:shd w:fill="DCE6F1" w:val="clear"/>
            <w:tcMar>
              <w:top w:type="dxa" w:w="60"/>
              <w:left w:type="dxa" w:w="80"/>
              <w:bottom w:type="dxa" w:w="60"/>
              <w:right w:type="dxa" w:w="80"/>
            </w:tcMar>
          </w:tcPr>
          <w:p>
            <w:r>
              <w:rPr>
                <w:sz w:val="19"/>
                <w:szCs w:val="19"/>
              </w:rPr>
              <w:t xml:space="preserve">Region selection</w:t>
            </w:r>
          </w:p>
        </w:tc>
        <w:tc>
          <w:tcPr>
            <w:tcW w:type="dxa" w:w="2200"/>
            <w:shd w:fill="DCE6F1" w:val="clear"/>
            <w:tcMar>
              <w:top w:type="dxa" w:w="60"/>
              <w:left w:type="dxa" w:w="80"/>
              <w:bottom w:type="dxa" w:w="60"/>
              <w:right w:type="dxa" w:w="80"/>
            </w:tcMar>
          </w:tcPr>
          <w:p>
            <w:r>
              <w:rPr>
                <w:sz w:val="19"/>
                <w:szCs w:val="19"/>
              </w:rPr>
              <w:t xml:space="preserve">Client Compliance Owner</w:t>
            </w:r>
          </w:p>
        </w:tc>
        <w:tc>
          <w:tcPr>
            <w:tcW w:type="dxa" w:w="2400"/>
            <w:shd w:fill="DCE6F1" w:val="clear"/>
            <w:tcMar>
              <w:top w:type="dxa" w:w="60"/>
              <w:left w:type="dxa" w:w="80"/>
              <w:bottom w:type="dxa" w:w="60"/>
              <w:right w:type="dxa" w:w="80"/>
            </w:tcMar>
          </w:tcPr>
          <w:p>
            <w:r>
              <w:rPr>
                <w:sz w:val="19"/>
                <w:szCs w:val="19"/>
              </w:rPr>
              <w:t xml:space="preserve">Section 24.5</w:t>
            </w:r>
          </w:p>
        </w:tc>
      </w:tr>
      <w:tr>
        <w:tc>
          <w:tcPr>
            <w:tcW w:type="dxa" w:w="2800"/>
            <w:shd w:fill="FFFFFF" w:val="clear"/>
            <w:tcMar>
              <w:top w:type="dxa" w:w="60"/>
              <w:left w:type="dxa" w:w="80"/>
              <w:bottom w:type="dxa" w:w="60"/>
              <w:right w:type="dxa" w:w="80"/>
            </w:tcMar>
          </w:tcPr>
          <w:p>
            <w:r>
              <w:rPr>
                <w:sz w:val="19"/>
                <w:szCs w:val="19"/>
              </w:rPr>
              <w:t xml:space="preserve">RTO / RPO targets</w:t>
            </w:r>
          </w:p>
        </w:tc>
        <w:tc>
          <w:tcPr>
            <w:tcW w:type="dxa" w:w="2600"/>
            <w:shd w:fill="FFFFFF" w:val="clear"/>
            <w:tcMar>
              <w:top w:type="dxa" w:w="60"/>
              <w:left w:type="dxa" w:w="80"/>
              <w:bottom w:type="dxa" w:w="60"/>
              <w:right w:type="dxa" w:w="80"/>
            </w:tcMar>
          </w:tcPr>
          <w:p>
            <w:r>
              <w:rPr>
                <w:sz w:val="19"/>
                <w:szCs w:val="19"/>
              </w:rPr>
              <w:t xml:space="preserve">Duration</w:t>
            </w:r>
          </w:p>
        </w:tc>
        <w:tc>
          <w:tcPr>
            <w:tcW w:type="dxa" w:w="2200"/>
            <w:shd w:fill="FFFFFF" w:val="clear"/>
            <w:tcMar>
              <w:top w:type="dxa" w:w="60"/>
              <w:left w:type="dxa" w:w="80"/>
              <w:bottom w:type="dxa" w:w="60"/>
              <w:right w:type="dxa" w:w="80"/>
            </w:tcMar>
          </w:tcPr>
          <w:p>
            <w:r>
              <w:rPr>
                <w:sz w:val="19"/>
                <w:szCs w:val="19"/>
              </w:rPr>
              <w:t xml:space="preserve">Client IT + Implementation Team</w:t>
            </w:r>
          </w:p>
        </w:tc>
        <w:tc>
          <w:tcPr>
            <w:tcW w:type="dxa" w:w="2400"/>
            <w:shd w:fill="FFFFFF" w:val="clear"/>
            <w:tcMar>
              <w:top w:type="dxa" w:w="60"/>
              <w:left w:type="dxa" w:w="80"/>
              <w:bottom w:type="dxa" w:w="60"/>
              <w:right w:type="dxa" w:w="80"/>
            </w:tcMar>
          </w:tcPr>
          <w:p>
            <w:r>
              <w:rPr>
                <w:sz w:val="19"/>
                <w:szCs w:val="19"/>
              </w:rPr>
              <w:t xml:space="preserve">Section 24.6</w:t>
            </w:r>
          </w:p>
        </w:tc>
      </w:tr>
      <w:tr>
        <w:tc>
          <w:tcPr>
            <w:tcW w:type="dxa" w:w="2800"/>
            <w:shd w:fill="DCE6F1" w:val="clear"/>
            <w:tcMar>
              <w:top w:type="dxa" w:w="60"/>
              <w:left w:type="dxa" w:w="80"/>
              <w:bottom w:type="dxa" w:w="60"/>
              <w:right w:type="dxa" w:w="80"/>
            </w:tcMar>
          </w:tcPr>
          <w:p>
            <w:r>
              <w:rPr>
                <w:sz w:val="19"/>
                <w:szCs w:val="19"/>
              </w:rPr>
              <w:t xml:space="preserve">Backup/restore cadence</w:t>
            </w:r>
          </w:p>
        </w:tc>
        <w:tc>
          <w:tcPr>
            <w:tcW w:type="dxa" w:w="2600"/>
            <w:shd w:fill="DCE6F1" w:val="clear"/>
            <w:tcMar>
              <w:top w:type="dxa" w:w="60"/>
              <w:left w:type="dxa" w:w="80"/>
              <w:bottom w:type="dxa" w:w="60"/>
              <w:right w:type="dxa" w:w="80"/>
            </w:tcMar>
          </w:tcPr>
          <w:p>
            <w:r>
              <w:rPr>
                <w:sz w:val="19"/>
                <w:szCs w:val="19"/>
              </w:rPr>
              <w:t xml:space="preserve">Frequency + retention period</w:t>
            </w:r>
          </w:p>
        </w:tc>
        <w:tc>
          <w:tcPr>
            <w:tcW w:type="dxa" w:w="2200"/>
            <w:shd w:fill="DCE6F1" w:val="clear"/>
            <w:tcMar>
              <w:top w:type="dxa" w:w="60"/>
              <w:left w:type="dxa" w:w="80"/>
              <w:bottom w:type="dxa" w:w="60"/>
              <w:right w:type="dxa" w:w="80"/>
            </w:tcMar>
          </w:tcPr>
          <w:p>
            <w:r>
              <w:rPr>
                <w:sz w:val="19"/>
                <w:szCs w:val="19"/>
              </w:rPr>
              <w:t xml:space="preserve">Client IT</w:t>
            </w:r>
          </w:p>
        </w:tc>
        <w:tc>
          <w:tcPr>
            <w:tcW w:type="dxa" w:w="2400"/>
            <w:shd w:fill="DCE6F1" w:val="clear"/>
            <w:tcMar>
              <w:top w:type="dxa" w:w="60"/>
              <w:left w:type="dxa" w:w="80"/>
              <w:bottom w:type="dxa" w:w="60"/>
              <w:right w:type="dxa" w:w="80"/>
            </w:tcMar>
          </w:tcPr>
          <w:p>
            <w:r>
              <w:rPr>
                <w:sz w:val="19"/>
                <w:szCs w:val="19"/>
              </w:rPr>
              <w:t xml:space="preserve">Section 24.6</w:t>
            </w:r>
          </w:p>
        </w:tc>
      </w:tr>
      <w:tr>
        <w:tc>
          <w:tcPr>
            <w:tcW w:type="dxa" w:w="2800"/>
            <w:shd w:fill="FFFFFF" w:val="clear"/>
            <w:tcMar>
              <w:top w:type="dxa" w:w="60"/>
              <w:left w:type="dxa" w:w="80"/>
              <w:bottom w:type="dxa" w:w="60"/>
              <w:right w:type="dxa" w:w="80"/>
            </w:tcMar>
          </w:tcPr>
          <w:p>
            <w:r>
              <w:rPr>
                <w:sz w:val="19"/>
                <w:szCs w:val="19"/>
              </w:rPr>
              <w:t xml:space="preserve">Environment set</w:t>
            </w:r>
          </w:p>
        </w:tc>
        <w:tc>
          <w:tcPr>
            <w:tcW w:type="dxa" w:w="2600"/>
            <w:shd w:fill="FFFFFF" w:val="clear"/>
            <w:tcMar>
              <w:top w:type="dxa" w:w="60"/>
              <w:left w:type="dxa" w:w="80"/>
              <w:bottom w:type="dxa" w:w="60"/>
              <w:right w:type="dxa" w:w="80"/>
            </w:tcMar>
          </w:tcPr>
          <w:p>
            <w:r>
              <w:rPr>
                <w:sz w:val="19"/>
                <w:szCs w:val="19"/>
              </w:rPr>
              <w:t xml:space="preserve">Dev/Sandbox, UAT, Production (minimum)</w:t>
            </w:r>
          </w:p>
        </w:tc>
        <w:tc>
          <w:tcPr>
            <w:tcW w:type="dxa" w:w="2200"/>
            <w:shd w:fill="FFFFFF" w:val="clear"/>
            <w:tcMar>
              <w:top w:type="dxa" w:w="60"/>
              <w:left w:type="dxa" w:w="80"/>
              <w:bottom w:type="dxa" w:w="60"/>
              <w:right w:type="dxa" w:w="80"/>
            </w:tcMar>
          </w:tcPr>
          <w:p>
            <w:r>
              <w:rPr>
                <w:sz w:val="19"/>
                <w:szCs w:val="19"/>
              </w:rPr>
              <w:t xml:space="preserve">Implementation Team</w:t>
            </w:r>
          </w:p>
        </w:tc>
        <w:tc>
          <w:tcPr>
            <w:tcW w:type="dxa" w:w="2400"/>
            <w:shd w:fill="FFFFFF" w:val="clear"/>
            <w:tcMar>
              <w:top w:type="dxa" w:w="60"/>
              <w:left w:type="dxa" w:w="80"/>
              <w:bottom w:type="dxa" w:w="60"/>
              <w:right w:type="dxa" w:w="80"/>
            </w:tcMar>
          </w:tcPr>
          <w:p>
            <w:r>
              <w:rPr>
                <w:sz w:val="19"/>
                <w:szCs w:val="19"/>
              </w:rPr>
              <w:t xml:space="preserve">Section 24.8</w:t>
            </w:r>
          </w:p>
        </w:tc>
      </w:tr>
    </w:tbl>
    <w:p>
      <w:pPr>
        <w:spacing w:after="160"/>
        <w:ind w:left="360"/>
      </w:pPr>
      <w:r>
        <w:rPr>
          <w:i/>
          <w:iCs/>
          <w:color w:val="595959"/>
          <w:sz w:val="20"/>
          <w:szCs w:val="20"/>
        </w:rPr>
        <w:t xml:space="preserve">Treat Section 18 as the single source of truth for “is this configurable yet?” during build — if a value needed by development isn't listed here, that's a sign either this register needs updating or the value is at risk of being hardcoded by mistake.</w:t>
      </w:r>
    </w:p>
    <w:p>
      <w:pPr>
        <w:pStyle w:val="Heading1"/>
        <w:pageBreakBefore/>
        <w:spacing w:after="200" w:before="400"/>
      </w:pPr>
      <w:r>
        <w:rPr>
          <w:b/>
          <w:bCs/>
          <w:color w:val="1F3864"/>
          <w:sz w:val="32"/>
          <w:szCs w:val="32"/>
        </w:rPr>
        <w:t xml:space="preserve">19. Platform Architecture: Configuration Engine Design</w:t>
      </w:r>
    </w:p>
    <w:p>
      <w:pPr>
        <w:spacing w:after="160"/>
      </w:pPr>
      <w:r>
        <w:rPr>
          <w:sz w:val="21"/>
          <w:szCs w:val="21"/>
        </w:rPr>
        <w:t xml:space="preserve">Section 18 defines WHAT is configurable. This section defines HOW the platform actually makes those items configurable without a code deployment — at a level a development team can start building against. The central idea: fields, validation rules, and workflow are DATA the engine reads and interprets at runtime, not logic a developer writes into the application. This is the same pattern that lets platforms like Salesforce, ServiceNow, or Dynamics run thousands of different customers on one codebase — and it is the single most important thing that distinguishes a generic product from a second bespoke build that merely resembles the first one.</w:t>
      </w:r>
    </w:p>
    <w:p>
      <w:pPr>
        <w:pStyle w:val="Heading2"/>
        <w:keepNext/>
        <w:spacing w:after="140" w:before="320"/>
      </w:pPr>
      <w:r>
        <w:rPr>
          <w:b/>
          <w:bCs/>
          <w:color w:val="2E5496"/>
          <w:sz w:val="26"/>
          <w:szCs w:val="26"/>
        </w:rPr>
        <w:t xml:space="preserve">19.1 Field / Schema Registry</w:t>
      </w:r>
    </w:p>
    <w:p>
      <w:pPr>
        <w:spacing w:after="160"/>
      </w:pPr>
      <w:r>
        <w:rPr>
          <w:sz w:val="21"/>
          <w:szCs w:val="21"/>
        </w:rPr>
        <w:t xml:space="preserve">Every field — whether it's part of the generic core library or a single tenant's own addition — is a row in a field metadata table, not a hardcoded database column or UI component. A hybrid storage pattern balances performance against flexibility:</w:t>
      </w:r>
    </w:p>
    <w:p>
      <w:pPr>
        <w:pStyle w:val="ListParagraph"/>
        <w:numPr>
          <w:ilvl w:val="0"/>
          <w:numId w:val="2"/>
        </w:numPr>
        <w:spacing w:after="80"/>
      </w:pPr>
      <w:r>
        <w:rPr>
          <w:sz w:val="21"/>
          <w:szCs w:val="21"/>
        </w:rPr>
        <w:t xml:space="preserve">Core/common fields — the industry-standard field set (≈93% of the reference field set as-is, plus ≈3% that are universal concepts needing only a generic label — see the Field Matrix and the Creditum Core Field Library) — are first-class table columns, shared across every tenant, for fast querying and indexing.</w:t>
      </w:r>
    </w:p>
    <w:p>
      <w:pPr>
        <w:pStyle w:val="ListParagraph"/>
        <w:numPr>
          <w:ilvl w:val="0"/>
          <w:numId w:val="2"/>
        </w:numPr>
        <w:spacing w:after="80"/>
      </w:pPr>
      <w:r>
        <w:rPr>
          <w:sz w:val="21"/>
          <w:szCs w:val="21"/>
        </w:rPr>
        <w:t xml:space="preserve">Tenant-specific custom fields (anything a client adds beyond the core library) live in a typed attribute-value extension table — one row per record, field, and value, with separate typed value columns (text, decimal, date, boolean) keyed by field-metadata ID. JSON/JSONB columns are deliberately not used for extension data, because each database engine queries inside JSON differently (Section 19.6). The UI and the rules engine (Section 19.2) treat core and extension fields identically: they read field metadata, never a hardcoded column name.</w:t>
      </w:r>
    </w:p>
    <w:p>
      <w:pPr>
        <w:pStyle w:val="Heading3"/>
        <w:keepNext/>
        <w:spacing w:after="100" w:before="220"/>
      </w:pPr>
      <w:r>
        <w:rPr>
          <w:b/>
          <w:bCs/>
          <w:color w:val="404040"/>
          <w:sz w:val="22"/>
          <w:szCs w:val="22"/>
        </w:rPr>
        <w:t xml:space="preserve">Field Metadata Schema</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000"/>
      </w:tblGrid>
      <w:tr>
        <w:trPr>
          <w:tblHeader/>
        </w:trPr>
        <w:tc>
          <w:tcPr>
            <w:tcW w:type="dxa" w:w="2600"/>
            <w:shd w:fill="1F3864" w:val="clear"/>
            <w:tcMar>
              <w:top w:type="dxa" w:w="60"/>
              <w:left w:type="dxa" w:w="80"/>
              <w:bottom w:type="dxa" w:w="60"/>
              <w:right w:type="dxa" w:w="80"/>
            </w:tcMar>
          </w:tcPr>
          <w:p>
            <w:r>
              <w:rPr>
                <w:b/>
                <w:bCs/>
                <w:color w:val="FFFFFF"/>
                <w:sz w:val="19"/>
                <w:szCs w:val="19"/>
              </w:rPr>
              <w:t xml:space="preserve">Attribute</w:t>
            </w:r>
          </w:p>
        </w:tc>
        <w:tc>
          <w:tcPr>
            <w:tcW w:type="dxa" w:w="2200"/>
            <w:shd w:fill="1F3864" w:val="clear"/>
            <w:tcMar>
              <w:top w:type="dxa" w:w="60"/>
              <w:left w:type="dxa" w:w="80"/>
              <w:bottom w:type="dxa" w:w="60"/>
              <w:right w:type="dxa" w:w="80"/>
            </w:tcMar>
          </w:tcPr>
          <w:p>
            <w:r>
              <w:rPr>
                <w:b/>
                <w:bCs/>
                <w:color w:val="FFFFFF"/>
                <w:sz w:val="19"/>
                <w:szCs w:val="19"/>
              </w:rPr>
              <w:t xml:space="preserve">Type</w:t>
            </w:r>
          </w:p>
        </w:tc>
        <w:tc>
          <w:tcPr>
            <w:tcW w:type="dxa" w:w="4000"/>
            <w:shd w:fill="1F3864" w:val="clear"/>
            <w:tcMar>
              <w:top w:type="dxa" w:w="60"/>
              <w:left w:type="dxa" w:w="80"/>
              <w:bottom w:type="dxa" w:w="60"/>
              <w:right w:type="dxa" w:w="80"/>
            </w:tcMar>
          </w:tcPr>
          <w:p>
            <w:r>
              <w:rPr>
                <w:b/>
                <w:bCs/>
                <w:color w:val="FFFFFF"/>
                <w:sz w:val="19"/>
                <w:szCs w:val="19"/>
              </w:rPr>
              <w:t xml:space="preserve">Notes</w:t>
            </w:r>
          </w:p>
        </w:tc>
      </w:tr>
      <w:tr>
        <w:tc>
          <w:tcPr>
            <w:tcW w:type="dxa" w:w="2600"/>
            <w:shd w:fill="FFFFFF" w:val="clear"/>
            <w:tcMar>
              <w:top w:type="dxa" w:w="60"/>
              <w:left w:type="dxa" w:w="80"/>
              <w:bottom w:type="dxa" w:w="60"/>
              <w:right w:type="dxa" w:w="80"/>
            </w:tcMar>
          </w:tcPr>
          <w:p>
            <w:r>
              <w:rPr>
                <w:sz w:val="19"/>
                <w:szCs w:val="19"/>
              </w:rPr>
              <w:t xml:space="preserve">field_id</w:t>
            </w:r>
          </w:p>
        </w:tc>
        <w:tc>
          <w:tcPr>
            <w:tcW w:type="dxa" w:w="2200"/>
            <w:shd w:fill="FFFFFF" w:val="clear"/>
            <w:tcMar>
              <w:top w:type="dxa" w:w="60"/>
              <w:left w:type="dxa" w:w="80"/>
              <w:bottom w:type="dxa" w:w="60"/>
              <w:right w:type="dxa" w:w="80"/>
            </w:tcMar>
          </w:tcPr>
          <w:p>
            <w:r>
              <w:rPr>
                <w:sz w:val="19"/>
                <w:szCs w:val="19"/>
              </w:rPr>
              <w:t xml:space="preserve">UUID</w:t>
            </w:r>
          </w:p>
        </w:tc>
        <w:tc>
          <w:tcPr>
            <w:tcW w:type="dxa" w:w="4000"/>
            <w:shd w:fill="FFFFFF" w:val="clear"/>
            <w:tcMar>
              <w:top w:type="dxa" w:w="60"/>
              <w:left w:type="dxa" w:w="80"/>
              <w:bottom w:type="dxa" w:w="60"/>
              <w:right w:type="dxa" w:w="80"/>
            </w:tcMar>
          </w:tcPr>
          <w:p>
            <w:r>
              <w:rPr>
                <w:sz w:val="19"/>
                <w:szCs w:val="19"/>
              </w:rPr>
              <w:t xml:space="preserve">Primary key</w:t>
            </w:r>
          </w:p>
        </w:tc>
      </w:tr>
      <w:tr>
        <w:tc>
          <w:tcPr>
            <w:tcW w:type="dxa" w:w="2600"/>
            <w:shd w:fill="DCE6F1" w:val="clear"/>
            <w:tcMar>
              <w:top w:type="dxa" w:w="60"/>
              <w:left w:type="dxa" w:w="80"/>
              <w:bottom w:type="dxa" w:w="60"/>
              <w:right w:type="dxa" w:w="80"/>
            </w:tcMar>
          </w:tcPr>
          <w:p>
            <w:r>
              <w:rPr>
                <w:sz w:val="19"/>
                <w:szCs w:val="19"/>
              </w:rPr>
              <w:t xml:space="preserve">tenant_id</w:t>
            </w:r>
          </w:p>
        </w:tc>
        <w:tc>
          <w:tcPr>
            <w:tcW w:type="dxa" w:w="2200"/>
            <w:shd w:fill="DCE6F1" w:val="clear"/>
            <w:tcMar>
              <w:top w:type="dxa" w:w="60"/>
              <w:left w:type="dxa" w:w="80"/>
              <w:bottom w:type="dxa" w:w="60"/>
              <w:right w:type="dxa" w:w="80"/>
            </w:tcMar>
          </w:tcPr>
          <w:p>
            <w:r>
              <w:rPr>
                <w:sz w:val="19"/>
                <w:szCs w:val="19"/>
              </w:rPr>
              <w:t xml:space="preserve">UUID</w:t>
            </w:r>
          </w:p>
        </w:tc>
        <w:tc>
          <w:tcPr>
            <w:tcW w:type="dxa" w:w="4000"/>
            <w:shd w:fill="DCE6F1" w:val="clear"/>
            <w:tcMar>
              <w:top w:type="dxa" w:w="60"/>
              <w:left w:type="dxa" w:w="80"/>
              <w:bottom w:type="dxa" w:w="60"/>
              <w:right w:type="dxa" w:w="80"/>
            </w:tcMar>
          </w:tcPr>
          <w:p>
            <w:r>
              <w:rPr>
                <w:sz w:val="19"/>
                <w:szCs w:val="19"/>
              </w:rPr>
              <w:t xml:space="preserve">Which client this field belongs to; NULL/shared for core library fields</w:t>
            </w:r>
          </w:p>
        </w:tc>
      </w:tr>
      <w:tr>
        <w:tc>
          <w:tcPr>
            <w:tcW w:type="dxa" w:w="2600"/>
            <w:shd w:fill="FFFFFF" w:val="clear"/>
            <w:tcMar>
              <w:top w:type="dxa" w:w="60"/>
              <w:left w:type="dxa" w:w="80"/>
              <w:bottom w:type="dxa" w:w="60"/>
              <w:right w:type="dxa" w:w="80"/>
            </w:tcMar>
          </w:tcPr>
          <w:p>
            <w:r>
              <w:rPr>
                <w:sz w:val="19"/>
                <w:szCs w:val="19"/>
              </w:rPr>
              <w:t xml:space="preserve">field_key</w:t>
            </w:r>
          </w:p>
        </w:tc>
        <w:tc>
          <w:tcPr>
            <w:tcW w:type="dxa" w:w="2200"/>
            <w:shd w:fill="FFFFFF" w:val="clear"/>
            <w:tcMar>
              <w:top w:type="dxa" w:w="60"/>
              <w:left w:type="dxa" w:w="80"/>
              <w:bottom w:type="dxa" w:w="60"/>
              <w:right w:type="dxa" w:w="80"/>
            </w:tcMar>
          </w:tcPr>
          <w:p>
            <w:r>
              <w:rPr>
                <w:sz w:val="19"/>
                <w:szCs w:val="19"/>
              </w:rPr>
              <w:t xml:space="preserve">String</w:t>
            </w:r>
          </w:p>
        </w:tc>
        <w:tc>
          <w:tcPr>
            <w:tcW w:type="dxa" w:w="4000"/>
            <w:shd w:fill="FFFFFF" w:val="clear"/>
            <w:tcMar>
              <w:top w:type="dxa" w:w="60"/>
              <w:left w:type="dxa" w:w="80"/>
              <w:bottom w:type="dxa" w:w="60"/>
              <w:right w:type="dxa" w:w="80"/>
            </w:tcMar>
          </w:tcPr>
          <w:p>
            <w:r>
              <w:rPr>
                <w:sz w:val="19"/>
                <w:szCs w:val="19"/>
              </w:rPr>
              <w:t xml:space="preserve">Stable internal identifier, e.g. facility_fixed_or_revolving</w:t>
            </w:r>
          </w:p>
        </w:tc>
      </w:tr>
      <w:tr>
        <w:tc>
          <w:tcPr>
            <w:tcW w:type="dxa" w:w="2600"/>
            <w:shd w:fill="DCE6F1" w:val="clear"/>
            <w:tcMar>
              <w:top w:type="dxa" w:w="60"/>
              <w:left w:type="dxa" w:w="80"/>
              <w:bottom w:type="dxa" w:w="60"/>
              <w:right w:type="dxa" w:w="80"/>
            </w:tcMar>
          </w:tcPr>
          <w:p>
            <w:r>
              <w:rPr>
                <w:sz w:val="19"/>
                <w:szCs w:val="19"/>
              </w:rPr>
              <w:t xml:space="preserve">display_label</w:t>
            </w:r>
          </w:p>
        </w:tc>
        <w:tc>
          <w:tcPr>
            <w:tcW w:type="dxa" w:w="2200"/>
            <w:shd w:fill="DCE6F1" w:val="clear"/>
            <w:tcMar>
              <w:top w:type="dxa" w:w="60"/>
              <w:left w:type="dxa" w:w="80"/>
              <w:bottom w:type="dxa" w:w="60"/>
              <w:right w:type="dxa" w:w="80"/>
            </w:tcMar>
          </w:tcPr>
          <w:p>
            <w:r>
              <w:rPr>
                <w:sz w:val="19"/>
                <w:szCs w:val="19"/>
              </w:rPr>
              <w:t xml:space="preserve">String (localizable)</w:t>
            </w:r>
          </w:p>
        </w:tc>
        <w:tc>
          <w:tcPr>
            <w:tcW w:type="dxa" w:w="4000"/>
            <w:shd w:fill="DCE6F1" w:val="clear"/>
            <w:tcMar>
              <w:top w:type="dxa" w:w="60"/>
              <w:left w:type="dxa" w:w="80"/>
              <w:bottom w:type="dxa" w:w="60"/>
              <w:right w:type="dxa" w:w="80"/>
            </w:tcMar>
          </w:tcPr>
          <w:p>
            <w:r>
              <w:rPr>
                <w:sz w:val="19"/>
                <w:szCs w:val="19"/>
              </w:rPr>
              <w:t xml:space="preserve">What the user sees; per Section 18.4 locale configuration</w:t>
            </w:r>
          </w:p>
        </w:tc>
      </w:tr>
      <w:tr>
        <w:tc>
          <w:tcPr>
            <w:tcW w:type="dxa" w:w="2600"/>
            <w:shd w:fill="FFFFFF" w:val="clear"/>
            <w:tcMar>
              <w:top w:type="dxa" w:w="60"/>
              <w:left w:type="dxa" w:w="80"/>
              <w:bottom w:type="dxa" w:w="60"/>
              <w:right w:type="dxa" w:w="80"/>
            </w:tcMar>
          </w:tcPr>
          <w:p>
            <w:r>
              <w:rPr>
                <w:sz w:val="19"/>
                <w:szCs w:val="19"/>
              </w:rPr>
              <w:t xml:space="preserve">module_section</w:t>
            </w:r>
          </w:p>
        </w:tc>
        <w:tc>
          <w:tcPr>
            <w:tcW w:type="dxa" w:w="2200"/>
            <w:shd w:fill="FFFFFF" w:val="clear"/>
            <w:tcMar>
              <w:top w:type="dxa" w:w="60"/>
              <w:left w:type="dxa" w:w="80"/>
              <w:bottom w:type="dxa" w:w="60"/>
              <w:right w:type="dxa" w:w="80"/>
            </w:tcMar>
          </w:tcPr>
          <w:p>
            <w:r>
              <w:rPr>
                <w:sz w:val="19"/>
                <w:szCs w:val="19"/>
              </w:rPr>
              <w:t xml:space="preserve">String</w:t>
            </w:r>
          </w:p>
        </w:tc>
        <w:tc>
          <w:tcPr>
            <w:tcW w:type="dxa" w:w="4000"/>
            <w:shd w:fill="FFFFFF" w:val="clear"/>
            <w:tcMar>
              <w:top w:type="dxa" w:w="60"/>
              <w:left w:type="dxa" w:w="80"/>
              <w:bottom w:type="dxa" w:w="60"/>
              <w:right w:type="dxa" w:w="80"/>
            </w:tcMar>
          </w:tcPr>
          <w:p>
            <w:r>
              <w:rPr>
                <w:sz w:val="19"/>
                <w:szCs w:val="19"/>
              </w:rPr>
              <w:t xml:space="preserve">Which module/section this field belongs to (Section 4)</w:t>
            </w:r>
          </w:p>
        </w:tc>
      </w:tr>
      <w:tr>
        <w:tc>
          <w:tcPr>
            <w:tcW w:type="dxa" w:w="2600"/>
            <w:shd w:fill="DCE6F1" w:val="clear"/>
            <w:tcMar>
              <w:top w:type="dxa" w:w="60"/>
              <w:left w:type="dxa" w:w="80"/>
              <w:bottom w:type="dxa" w:w="60"/>
              <w:right w:type="dxa" w:w="80"/>
            </w:tcMar>
          </w:tcPr>
          <w:p>
            <w:r>
              <w:rPr>
                <w:sz w:val="19"/>
                <w:szCs w:val="19"/>
              </w:rPr>
              <w:t xml:space="preserve">data_type</w:t>
            </w:r>
          </w:p>
        </w:tc>
        <w:tc>
          <w:tcPr>
            <w:tcW w:type="dxa" w:w="2200"/>
            <w:shd w:fill="DCE6F1" w:val="clear"/>
            <w:tcMar>
              <w:top w:type="dxa" w:w="60"/>
              <w:left w:type="dxa" w:w="80"/>
              <w:bottom w:type="dxa" w:w="60"/>
              <w:right w:type="dxa" w:w="80"/>
            </w:tcMar>
          </w:tcPr>
          <w:p>
            <w:r>
              <w:rPr>
                <w:sz w:val="19"/>
                <w:szCs w:val="19"/>
              </w:rPr>
              <w:t xml:space="preserve">Enum</w:t>
            </w:r>
          </w:p>
        </w:tc>
        <w:tc>
          <w:tcPr>
            <w:tcW w:type="dxa" w:w="4000"/>
            <w:shd w:fill="DCE6F1" w:val="clear"/>
            <w:tcMar>
              <w:top w:type="dxa" w:w="60"/>
              <w:left w:type="dxa" w:w="80"/>
              <w:bottom w:type="dxa" w:w="60"/>
              <w:right w:type="dxa" w:w="80"/>
            </w:tcMar>
          </w:tcPr>
          <w:p>
            <w:r>
              <w:rPr>
                <w:sz w:val="19"/>
                <w:szCs w:val="19"/>
              </w:rPr>
              <w:t xml:space="preserve">Text / Rich Text / Number / Date / Dropdown / Boolean / Currency Amount</w:t>
            </w:r>
          </w:p>
        </w:tc>
      </w:tr>
      <w:tr>
        <w:tc>
          <w:tcPr>
            <w:tcW w:type="dxa" w:w="2600"/>
            <w:shd w:fill="FFFFFF" w:val="clear"/>
            <w:tcMar>
              <w:top w:type="dxa" w:w="60"/>
              <w:left w:type="dxa" w:w="80"/>
              <w:bottom w:type="dxa" w:w="60"/>
              <w:right w:type="dxa" w:w="80"/>
            </w:tcMar>
          </w:tcPr>
          <w:p>
            <w:r>
              <w:rPr>
                <w:sz w:val="19"/>
                <w:szCs w:val="19"/>
              </w:rPr>
              <w:t xml:space="preserve">rich_text_capabilities</w:t>
            </w:r>
          </w:p>
        </w:tc>
        <w:tc>
          <w:tcPr>
            <w:tcW w:type="dxa" w:w="2200"/>
            <w:shd w:fill="FFFFFF" w:val="clear"/>
            <w:tcMar>
              <w:top w:type="dxa" w:w="60"/>
              <w:left w:type="dxa" w:w="80"/>
              <w:bottom w:type="dxa" w:w="60"/>
              <w:right w:type="dxa" w:w="80"/>
            </w:tcMar>
          </w:tcPr>
          <w:p>
            <w:r>
              <w:rPr>
                <w:sz w:val="19"/>
                <w:szCs w:val="19"/>
              </w:rPr>
              <w:t xml:space="preserve">Flags (only when data_type = Rich Text)</w:t>
            </w:r>
          </w:p>
        </w:tc>
        <w:tc>
          <w:tcPr>
            <w:tcW w:type="dxa" w:w="4000"/>
            <w:shd w:fill="FFFFFF" w:val="clear"/>
            <w:tcMar>
              <w:top w:type="dxa" w:w="60"/>
              <w:left w:type="dxa" w:w="80"/>
              <w:bottom w:type="dxa" w:w="60"/>
              <w:right w:type="dxa" w:w="80"/>
            </w:tcMar>
          </w:tcPr>
          <w:p>
            <w:r>
              <w:rPr>
                <w:sz w:val="19"/>
                <w:szCs w:val="19"/>
              </w:rPr>
              <w:t xml:space="preserve">font_formatting / paragraph_formatting / lists / tables / hyperlinks / paste_from_word_cleanup — see note below</w:t>
            </w:r>
          </w:p>
        </w:tc>
      </w:tr>
      <w:tr>
        <w:tc>
          <w:tcPr>
            <w:tcW w:type="dxa" w:w="2600"/>
            <w:shd w:fill="DCE6F1" w:val="clear"/>
            <w:tcMar>
              <w:top w:type="dxa" w:w="60"/>
              <w:left w:type="dxa" w:w="80"/>
              <w:bottom w:type="dxa" w:w="60"/>
              <w:right w:type="dxa" w:w="80"/>
            </w:tcMar>
          </w:tcPr>
          <w:p>
            <w:r>
              <w:rPr>
                <w:sz w:val="19"/>
                <w:szCs w:val="19"/>
              </w:rPr>
              <w:t xml:space="preserve">source_type</w:t>
            </w:r>
          </w:p>
        </w:tc>
        <w:tc>
          <w:tcPr>
            <w:tcW w:type="dxa" w:w="2200"/>
            <w:shd w:fill="DCE6F1" w:val="clear"/>
            <w:tcMar>
              <w:top w:type="dxa" w:w="60"/>
              <w:left w:type="dxa" w:w="80"/>
              <w:bottom w:type="dxa" w:w="60"/>
              <w:right w:type="dxa" w:w="80"/>
            </w:tcMar>
          </w:tcPr>
          <w:p>
            <w:r>
              <w:rPr>
                <w:sz w:val="19"/>
                <w:szCs w:val="19"/>
              </w:rPr>
              <w:t xml:space="preserve">Enum</w:t>
            </w:r>
          </w:p>
        </w:tc>
        <w:tc>
          <w:tcPr>
            <w:tcW w:type="dxa" w:w="4000"/>
            <w:shd w:fill="DCE6F1" w:val="clear"/>
            <w:tcMar>
              <w:top w:type="dxa" w:w="60"/>
              <w:left w:type="dxa" w:w="80"/>
              <w:bottom w:type="dxa" w:w="60"/>
              <w:right w:type="dxa" w:w="80"/>
            </w:tcMar>
          </w:tcPr>
          <w:p>
            <w:r>
              <w:rPr>
                <w:sz w:val="19"/>
                <w:szCs w:val="19"/>
              </w:rPr>
              <w:t xml:space="preserve">Manual / Integrated / Calculated / Derived — per Section 8.1</w:t>
            </w:r>
          </w:p>
        </w:tc>
      </w:tr>
      <w:tr>
        <w:tc>
          <w:tcPr>
            <w:tcW w:type="dxa" w:w="2600"/>
            <w:shd w:fill="FFFFFF" w:val="clear"/>
            <w:tcMar>
              <w:top w:type="dxa" w:w="60"/>
              <w:left w:type="dxa" w:w="80"/>
              <w:bottom w:type="dxa" w:w="60"/>
              <w:right w:type="dxa" w:w="80"/>
            </w:tcMar>
          </w:tcPr>
          <w:p>
            <w:r>
              <w:rPr>
                <w:sz w:val="19"/>
                <w:szCs w:val="19"/>
              </w:rPr>
              <w:t xml:space="preserve">mandatory_default</w:t>
            </w:r>
          </w:p>
        </w:tc>
        <w:tc>
          <w:tcPr>
            <w:tcW w:type="dxa" w:w="2200"/>
            <w:shd w:fill="FFFFFF" w:val="clear"/>
            <w:tcMar>
              <w:top w:type="dxa" w:w="60"/>
              <w:left w:type="dxa" w:w="80"/>
              <w:bottom w:type="dxa" w:w="60"/>
              <w:right w:type="dxa" w:w="80"/>
            </w:tcMar>
          </w:tcPr>
          <w:p>
            <w:r>
              <w:rPr>
                <w:sz w:val="19"/>
                <w:szCs w:val="19"/>
              </w:rPr>
              <w:t xml:space="preserve">Enum</w:t>
            </w:r>
          </w:p>
        </w:tc>
        <w:tc>
          <w:tcPr>
            <w:tcW w:type="dxa" w:w="4000"/>
            <w:shd w:fill="FFFFFF" w:val="clear"/>
            <w:tcMar>
              <w:top w:type="dxa" w:w="60"/>
              <w:left w:type="dxa" w:w="80"/>
              <w:bottom w:type="dxa" w:w="60"/>
              <w:right w:type="dxa" w:w="80"/>
            </w:tcMar>
          </w:tcPr>
          <w:p>
            <w:r>
              <w:rPr>
                <w:sz w:val="19"/>
                <w:szCs w:val="19"/>
              </w:rPr>
              <w:t xml:space="preserve">Mandatory / Optional / Conditional — see the Mandatory/Optional Field Matrix tab for a worked starting point</w:t>
            </w:r>
          </w:p>
        </w:tc>
      </w:tr>
      <w:tr>
        <w:tc>
          <w:tcPr>
            <w:tcW w:type="dxa" w:w="2600"/>
            <w:shd w:fill="DCE6F1" w:val="clear"/>
            <w:tcMar>
              <w:top w:type="dxa" w:w="60"/>
              <w:left w:type="dxa" w:w="80"/>
              <w:bottom w:type="dxa" w:w="60"/>
              <w:right w:type="dxa" w:w="80"/>
            </w:tcMar>
          </w:tcPr>
          <w:p>
            <w:r>
              <w:rPr>
                <w:sz w:val="19"/>
                <w:szCs w:val="19"/>
              </w:rPr>
              <w:t xml:space="preserve">storage_location</w:t>
            </w:r>
          </w:p>
        </w:tc>
        <w:tc>
          <w:tcPr>
            <w:tcW w:type="dxa" w:w="2200"/>
            <w:shd w:fill="DCE6F1" w:val="clear"/>
            <w:tcMar>
              <w:top w:type="dxa" w:w="60"/>
              <w:left w:type="dxa" w:w="80"/>
              <w:bottom w:type="dxa" w:w="60"/>
              <w:right w:type="dxa" w:w="80"/>
            </w:tcMar>
          </w:tcPr>
          <w:p>
            <w:r>
              <w:rPr>
                <w:sz w:val="19"/>
                <w:szCs w:val="19"/>
              </w:rPr>
              <w:t xml:space="preserve">Enum</w:t>
            </w:r>
          </w:p>
        </w:tc>
        <w:tc>
          <w:tcPr>
            <w:tcW w:type="dxa" w:w="4000"/>
            <w:shd w:fill="DCE6F1" w:val="clear"/>
            <w:tcMar>
              <w:top w:type="dxa" w:w="60"/>
              <w:left w:type="dxa" w:w="80"/>
              <w:bottom w:type="dxa" w:w="60"/>
              <w:right w:type="dxa" w:w="80"/>
            </w:tcMar>
          </w:tcPr>
          <w:p>
            <w:r>
              <w:rPr>
                <w:sz w:val="19"/>
                <w:szCs w:val="19"/>
              </w:rPr>
              <w:t xml:space="preserve">core_column (shared schema) or custom_extension (typed attribute-value table)</w:t>
            </w:r>
          </w:p>
        </w:tc>
      </w:tr>
      <w:tr>
        <w:tc>
          <w:tcPr>
            <w:tcW w:type="dxa" w:w="2600"/>
            <w:shd w:fill="FFFFFF" w:val="clear"/>
            <w:tcMar>
              <w:top w:type="dxa" w:w="60"/>
              <w:left w:type="dxa" w:w="80"/>
              <w:bottom w:type="dxa" w:w="60"/>
              <w:right w:type="dxa" w:w="80"/>
            </w:tcMar>
          </w:tcPr>
          <w:p>
            <w:r>
              <w:rPr>
                <w:sz w:val="19"/>
                <w:szCs w:val="19"/>
              </w:rPr>
              <w:t xml:space="preserve">validation_ref</w:t>
            </w:r>
          </w:p>
        </w:tc>
        <w:tc>
          <w:tcPr>
            <w:tcW w:type="dxa" w:w="2200"/>
            <w:shd w:fill="FFFFFF" w:val="clear"/>
            <w:tcMar>
              <w:top w:type="dxa" w:w="60"/>
              <w:left w:type="dxa" w:w="80"/>
              <w:bottom w:type="dxa" w:w="60"/>
              <w:right w:type="dxa" w:w="80"/>
            </w:tcMar>
          </w:tcPr>
          <w:p>
            <w:r>
              <w:rPr>
                <w:sz w:val="19"/>
                <w:szCs w:val="19"/>
              </w:rPr>
              <w:t xml:space="preserve">Array of rule_id</w:t>
            </w:r>
          </w:p>
        </w:tc>
        <w:tc>
          <w:tcPr>
            <w:tcW w:type="dxa" w:w="4000"/>
            <w:shd w:fill="FFFFFF" w:val="clear"/>
            <w:tcMar>
              <w:top w:type="dxa" w:w="60"/>
              <w:left w:type="dxa" w:w="80"/>
              <w:bottom w:type="dxa" w:w="60"/>
              <w:right w:type="dxa" w:w="80"/>
            </w:tcMar>
          </w:tcPr>
          <w:p>
            <w:r>
              <w:rPr>
                <w:sz w:val="19"/>
                <w:szCs w:val="19"/>
              </w:rPr>
              <w:t xml:space="preserve">Links to Rules Engine entries (Section 19.2) that govern this field</w:t>
            </w:r>
          </w:p>
        </w:tc>
      </w:tr>
      <w:tr>
        <w:tc>
          <w:tcPr>
            <w:tcW w:type="dxa" w:w="2600"/>
            <w:shd w:fill="DCE6F1" w:val="clear"/>
            <w:tcMar>
              <w:top w:type="dxa" w:w="60"/>
              <w:left w:type="dxa" w:w="80"/>
              <w:bottom w:type="dxa" w:w="60"/>
              <w:right w:type="dxa" w:w="80"/>
            </w:tcMar>
          </w:tcPr>
          <w:p>
            <w:r>
              <w:rPr>
                <w:sz w:val="19"/>
                <w:szCs w:val="19"/>
              </w:rPr>
              <w:t xml:space="preserve">version</w:t>
            </w:r>
          </w:p>
        </w:tc>
        <w:tc>
          <w:tcPr>
            <w:tcW w:type="dxa" w:w="2200"/>
            <w:shd w:fill="DCE6F1" w:val="clear"/>
            <w:tcMar>
              <w:top w:type="dxa" w:w="60"/>
              <w:left w:type="dxa" w:w="80"/>
              <w:bottom w:type="dxa" w:w="60"/>
              <w:right w:type="dxa" w:w="80"/>
            </w:tcMar>
          </w:tcPr>
          <w:p>
            <w:r>
              <w:rPr>
                <w:sz w:val="19"/>
                <w:szCs w:val="19"/>
              </w:rPr>
              <w:t xml:space="preserve">Integer</w:t>
            </w:r>
          </w:p>
        </w:tc>
        <w:tc>
          <w:tcPr>
            <w:tcW w:type="dxa" w:w="4000"/>
            <w:shd w:fill="DCE6F1" w:val="clear"/>
            <w:tcMar>
              <w:top w:type="dxa" w:w="60"/>
              <w:left w:type="dxa" w:w="80"/>
              <w:bottom w:type="dxa" w:w="60"/>
              <w:right w:type="dxa" w:w="80"/>
            </w:tcMar>
          </w:tcPr>
          <w:p>
            <w:r>
              <w:rPr>
                <w:sz w:val="19"/>
                <w:szCs w:val="19"/>
              </w:rPr>
              <w:t xml:space="preserve">Incremented on every change; full history retained</w:t>
            </w:r>
          </w:p>
        </w:tc>
      </w:tr>
      <w:tr>
        <w:tc>
          <w:tcPr>
            <w:tcW w:type="dxa" w:w="2600"/>
            <w:shd w:fill="FFFFFF" w:val="clear"/>
            <w:tcMar>
              <w:top w:type="dxa" w:w="60"/>
              <w:left w:type="dxa" w:w="80"/>
              <w:bottom w:type="dxa" w:w="60"/>
              <w:right w:type="dxa" w:w="80"/>
            </w:tcMar>
          </w:tcPr>
          <w:p>
            <w:r>
              <w:rPr>
                <w:sz w:val="19"/>
                <w:szCs w:val="19"/>
              </w:rPr>
              <w:t xml:space="preserve">created_by / updated_by / timestamps</w:t>
            </w:r>
          </w:p>
        </w:tc>
        <w:tc>
          <w:tcPr>
            <w:tcW w:type="dxa" w:w="2200"/>
            <w:shd w:fill="FFFFFF" w:val="clear"/>
            <w:tcMar>
              <w:top w:type="dxa" w:w="60"/>
              <w:left w:type="dxa" w:w="80"/>
              <w:bottom w:type="dxa" w:w="60"/>
              <w:right w:type="dxa" w:w="80"/>
            </w:tcMar>
          </w:tcPr>
          <w:p>
            <w:r>
              <w:rPr>
                <w:sz w:val="19"/>
                <w:szCs w:val="19"/>
              </w:rPr>
              <w:t xml:space="preserve">Audit fields</w:t>
            </w:r>
          </w:p>
        </w:tc>
        <w:tc>
          <w:tcPr>
            <w:tcW w:type="dxa" w:w="4000"/>
            <w:shd w:fill="FFFFFF" w:val="clear"/>
            <w:tcMar>
              <w:top w:type="dxa" w:w="60"/>
              <w:left w:type="dxa" w:w="80"/>
              <w:bottom w:type="dxa" w:w="60"/>
              <w:right w:type="dxa" w:w="80"/>
            </w:tcMar>
          </w:tcPr>
          <w:p>
            <w:r>
              <w:rPr>
                <w:sz w:val="19"/>
                <w:szCs w:val="19"/>
              </w:rPr>
              <w:t xml:space="preserve">Every change attributable, per Section 19.4 governance</w:t>
            </w:r>
          </w:p>
        </w:tc>
      </w:tr>
    </w:tbl>
    <w:p>
      <w:pPr>
        <w:spacing w:after="160"/>
        <w:ind w:left="360"/>
      </w:pPr>
      <w:r>
        <w:rPr>
          <w:i/>
          <w:iCs/>
          <w:color w:val="595959"/>
          <w:sz w:val="20"/>
          <w:szCs w:val="20"/>
        </w:rPr>
        <w:t xml:space="preserve">Example: NBK's own 'Extension Count' field would be registered once, in the core library (it's a universal concept per the Field Matrix), with source_type = Calculated and validation_ref pointing to the rule in Section 19.2 that shows it only when Request Type = Extension. No tenant needs to redefine it — they just activate it.</w:t>
      </w:r>
    </w:p>
    <w:p>
      <w:pPr>
        <w:pStyle w:val="Heading3"/>
        <w:keepNext/>
        <w:spacing w:after="100" w:before="220"/>
      </w:pPr>
      <w:r>
        <w:rPr>
          <w:b/>
          <w:bCs/>
          <w:color w:val="404040"/>
          <w:sz w:val="22"/>
          <w:szCs w:val="22"/>
        </w:rPr>
        <w:t xml:space="preserve">Rich Text Fields (Word-Comparable Formatting)</w:t>
      </w:r>
    </w:p>
    <w:p>
      <w:pPr>
        <w:spacing w:after="160"/>
      </w:pPr>
      <w:r>
        <w:rPr>
          <w:sz w:val="21"/>
          <w:szCs w:val="21"/>
        </w:rPr>
        <w:t xml:space="preserve">Every comment/notes box across the platform (Module-level comments, collateral notes, covenant descriptions, free-text narrative sections) is registered with data_type = Rich Text, not plain Text. This is the generic, reusable form of a requirement first raised by NBK: that comment fields “collaborate with MS Word for features and functions,” including font and paragraph formatting, inserting tables/links, and pasting content copied from an external Word document with its formatting preserved. This is a standard, universal requirement — classified Industry-Standard in the Field Matrix — not an NBK-specific feature, and it is implemented as a standards-based rich-text editor component, never a literal embedded Microsoft Word/Office dependency:</w:t>
      </w:r>
    </w:p>
    <w:p>
      <w:pPr>
        <w:pStyle w:val="ListParagraph"/>
        <w:numPr>
          <w:ilvl w:val="0"/>
          <w:numId w:val="2"/>
        </w:numPr>
        <w:spacing w:after="80"/>
      </w:pPr>
      <w:r>
        <w:rPr>
          <w:sz w:val="21"/>
          <w:szCs w:val="21"/>
        </w:rPr>
        <w:t xml:space="preserve">font_formatting — bold, italic, underline, font family/size</w:t>
      </w:r>
    </w:p>
    <w:p>
      <w:pPr>
        <w:pStyle w:val="ListParagraph"/>
        <w:numPr>
          <w:ilvl w:val="0"/>
          <w:numId w:val="2"/>
        </w:numPr>
        <w:spacing w:after="80"/>
      </w:pPr>
      <w:r>
        <w:rPr>
          <w:sz w:val="21"/>
          <w:szCs w:val="21"/>
        </w:rPr>
        <w:t xml:space="preserve">paragraph_formatting — alignment, bullet/numbered lists, indentation</w:t>
      </w:r>
    </w:p>
    <w:p>
      <w:pPr>
        <w:pStyle w:val="ListParagraph"/>
        <w:numPr>
          <w:ilvl w:val="0"/>
          <w:numId w:val="2"/>
        </w:numPr>
        <w:spacing w:after="80"/>
      </w:pPr>
      <w:r>
        <w:rPr>
          <w:sz w:val="21"/>
          <w:szCs w:val="21"/>
        </w:rPr>
        <w:t xml:space="preserve">tables — insert and edit a simple table within the field</w:t>
      </w:r>
    </w:p>
    <w:p>
      <w:pPr>
        <w:pStyle w:val="ListParagraph"/>
        <w:numPr>
          <w:ilvl w:val="0"/>
          <w:numId w:val="2"/>
        </w:numPr>
        <w:spacing w:after="80"/>
      </w:pPr>
      <w:r>
        <w:rPr>
          <w:sz w:val="21"/>
          <w:szCs w:val="21"/>
        </w:rPr>
        <w:t xml:space="preserve">hyperlinks — insert and edit links</w:t>
      </w:r>
    </w:p>
    <w:p>
      <w:pPr>
        <w:pStyle w:val="ListParagraph"/>
        <w:numPr>
          <w:ilvl w:val="0"/>
          <w:numId w:val="2"/>
        </w:numPr>
        <w:spacing w:after="80"/>
      </w:pPr>
      <w:r>
        <w:rPr>
          <w:sz w:val="21"/>
          <w:szCs w:val="21"/>
        </w:rPr>
        <w:t xml:space="preserve">paste_from_word_cleanup — reads the formatted clipboard content Word/Office produces on copy and preserves visual formatting (bold, lists, tables) rather than dropping to plain text</w:t>
      </w:r>
    </w:p>
    <w:p>
      <w:pPr>
        <w:spacing w:after="160"/>
        <w:ind w:left="360"/>
      </w:pPr>
      <w:r>
        <w:rPr>
          <w:i/>
          <w:iCs/>
          <w:color w:val="595959"/>
          <w:sz w:val="20"/>
          <w:szCs w:val="20"/>
        </w:rPr>
        <w:t xml:space="preserve">Deliberately NOT in scope for the core engine: embedding the actual Word/Office application or requiring a Microsoft 365/SharePoint tenancy to edit a comment field. That would hardcode a vendor dependency into a feature that doesn't need one, breaking the adapter-pattern principle in Section 11. True round-trip Word document editing (e.g., generating a .docx credit memo that must reopen with full fidelity, including track changes, in desktop Word for an external legal/signature workflow) is a legitimate but separate need — offered only as an optional integration behind an adapter, never baked into the core Rich Text field type.</w:t>
      </w:r>
    </w:p>
    <w:p>
      <w:pPr>
        <w:pStyle w:val="Heading3"/>
        <w:keepNext/>
        <w:spacing w:after="100" w:before="220"/>
      </w:pPr>
      <w:r>
        <w:rPr>
          <w:b/>
          <w:bCs/>
          <w:color w:val="404040"/>
          <w:sz w:val="22"/>
          <w:szCs w:val="22"/>
        </w:rPr>
        <w:t xml:space="preserve">Request Number Generation Scheme</w:t>
      </w:r>
    </w:p>
    <w:p>
      <w:pPr>
        <w:spacing w:after="160"/>
      </w:pPr>
      <w:r>
        <w:rPr>
          <w:sz w:val="21"/>
          <w:szCs w:val="21"/>
        </w:rPr>
        <w:t xml:space="preserve">The Credit Request Number (the generic form of NBK's own ‘DCR number’) is registered in the Field Registry as a single field — source_type = Calculated, non-editable, generated once at record creation — but its FORMAT is genuinely institution-specific and must be configurable, not fixed. There is no universal ‘correct’ numbering convention the way there is a correct Weighted ROC formula; every bank's own convention is a legitimate, different choice.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200"/>
      </w:tblGrid>
      <w:tr>
        <w:trPr>
          <w:tblHeader/>
        </w:trPr>
        <w:tc>
          <w:tcPr>
            <w:tcW w:type="dxa" w:w="2200"/>
            <w:shd w:fill="1F3864" w:val="clear"/>
            <w:tcMar>
              <w:top w:type="dxa" w:w="60"/>
              <w:left w:type="dxa" w:w="80"/>
              <w:bottom w:type="dxa" w:w="60"/>
              <w:right w:type="dxa" w:w="80"/>
            </w:tcMar>
          </w:tcPr>
          <w:p>
            <w:r>
              <w:rPr>
                <w:b/>
                <w:bCs/>
                <w:color w:val="FFFFFF"/>
                <w:sz w:val="19"/>
                <w:szCs w:val="19"/>
              </w:rPr>
              <w:t xml:space="preserve">Component</w:t>
            </w:r>
          </w:p>
        </w:tc>
        <w:tc>
          <w:tcPr>
            <w:tcW w:type="dxa" w:w="3800"/>
            <w:shd w:fill="1F3864" w:val="clear"/>
            <w:tcMar>
              <w:top w:type="dxa" w:w="60"/>
              <w:left w:type="dxa" w:w="80"/>
              <w:bottom w:type="dxa" w:w="60"/>
              <w:right w:type="dxa" w:w="80"/>
            </w:tcMar>
          </w:tcPr>
          <w:p>
            <w:r>
              <w:rPr>
                <w:b/>
                <w:bCs/>
                <w:color w:val="FFFFFF"/>
                <w:sz w:val="19"/>
                <w:szCs w:val="19"/>
              </w:rPr>
              <w:t xml:space="preserve">What It Controls</w:t>
            </w:r>
          </w:p>
        </w:tc>
        <w:tc>
          <w:tcPr>
            <w:tcW w:type="dxa" w:w="3200"/>
            <w:shd w:fill="1F3864" w:val="clear"/>
            <w:tcMar>
              <w:top w:type="dxa" w:w="60"/>
              <w:left w:type="dxa" w:w="80"/>
              <w:bottom w:type="dxa" w:w="60"/>
              <w:right w:type="dxa" w:w="80"/>
            </w:tcMar>
          </w:tcPr>
          <w:p>
            <w:r>
              <w:rPr>
                <w:b/>
                <w:bCs/>
                <w:color w:val="FFFFFF"/>
                <w:sz w:val="19"/>
                <w:szCs w:val="19"/>
              </w:rPr>
              <w:t xml:space="preserve">Example</w:t>
            </w:r>
          </w:p>
        </w:tc>
      </w:tr>
      <w:tr>
        <w:tc>
          <w:tcPr>
            <w:tcW w:type="dxa" w:w="2200"/>
            <w:shd w:fill="FFFFFF" w:val="clear"/>
            <w:tcMar>
              <w:top w:type="dxa" w:w="60"/>
              <w:left w:type="dxa" w:w="80"/>
              <w:bottom w:type="dxa" w:w="60"/>
              <w:right w:type="dxa" w:w="80"/>
            </w:tcMar>
          </w:tcPr>
          <w:p>
            <w:r>
              <w:rPr>
                <w:sz w:val="19"/>
                <w:szCs w:val="19"/>
              </w:rPr>
              <w:t xml:space="preserve">Prefix</w:t>
            </w:r>
          </w:p>
        </w:tc>
        <w:tc>
          <w:tcPr>
            <w:tcW w:type="dxa" w:w="3800"/>
            <w:shd w:fill="FFFFFF" w:val="clear"/>
            <w:tcMar>
              <w:top w:type="dxa" w:w="60"/>
              <w:left w:type="dxa" w:w="80"/>
              <w:bottom w:type="dxa" w:w="60"/>
              <w:right w:type="dxa" w:w="80"/>
            </w:tcMar>
          </w:tcPr>
          <w:p>
            <w:r>
              <w:rPr>
                <w:sz w:val="19"/>
                <w:szCs w:val="19"/>
              </w:rPr>
              <w:t xml:space="preserve">Static text or a derived value (committee type, product line, branch code)</w:t>
            </w:r>
          </w:p>
        </w:tc>
        <w:tc>
          <w:tcPr>
            <w:tcW w:type="dxa" w:w="3200"/>
            <w:shd w:fill="FFFFFF" w:val="clear"/>
            <w:tcMar>
              <w:top w:type="dxa" w:w="60"/>
              <w:left w:type="dxa" w:w="80"/>
              <w:bottom w:type="dxa" w:w="60"/>
              <w:right w:type="dxa" w:w="80"/>
            </w:tcMar>
          </w:tcPr>
          <w:p>
            <w:r>
              <w:rPr>
                <w:sz w:val="19"/>
                <w:szCs w:val="19"/>
              </w:rPr>
              <w:t xml:space="preserve">“CR”, or a committee/product code</w:t>
            </w:r>
          </w:p>
        </w:tc>
      </w:tr>
      <w:tr>
        <w:tc>
          <w:tcPr>
            <w:tcW w:type="dxa" w:w="2200"/>
            <w:shd w:fill="DCE6F1" w:val="clear"/>
            <w:tcMar>
              <w:top w:type="dxa" w:w="60"/>
              <w:left w:type="dxa" w:w="80"/>
              <w:bottom w:type="dxa" w:w="60"/>
              <w:right w:type="dxa" w:w="80"/>
            </w:tcMar>
          </w:tcPr>
          <w:p>
            <w:r>
              <w:rPr>
                <w:sz w:val="19"/>
                <w:szCs w:val="19"/>
              </w:rPr>
              <w:t xml:space="preserve">Sequence scope</w:t>
            </w:r>
          </w:p>
        </w:tc>
        <w:tc>
          <w:tcPr>
            <w:tcW w:type="dxa" w:w="3800"/>
            <w:shd w:fill="DCE6F1" w:val="clear"/>
            <w:tcMar>
              <w:top w:type="dxa" w:w="60"/>
              <w:left w:type="dxa" w:w="80"/>
              <w:bottom w:type="dxa" w:w="60"/>
              <w:right w:type="dxa" w:w="80"/>
            </w:tcMar>
          </w:tcPr>
          <w:p>
            <w:r>
              <w:rPr>
                <w:sz w:val="19"/>
                <w:szCs w:val="19"/>
              </w:rPr>
              <w:t xml:space="preserve">Global, per-year, per-branch, or per-product-line counter</w:t>
            </w:r>
          </w:p>
        </w:tc>
        <w:tc>
          <w:tcPr>
            <w:tcW w:type="dxa" w:w="3200"/>
            <w:shd w:fill="DCE6F1" w:val="clear"/>
            <w:tcMar>
              <w:top w:type="dxa" w:w="60"/>
              <w:left w:type="dxa" w:w="80"/>
              <w:bottom w:type="dxa" w:w="60"/>
              <w:right w:type="dxa" w:w="80"/>
            </w:tcMar>
          </w:tcPr>
          <w:p>
            <w:r>
              <w:rPr>
                <w:sz w:val="19"/>
                <w:szCs w:val="19"/>
              </w:rPr>
              <w:t xml:space="preserve">A separate sequence per branch vs. one bank-wide sequence</w:t>
            </w:r>
          </w:p>
        </w:tc>
      </w:tr>
      <w:tr>
        <w:tc>
          <w:tcPr>
            <w:tcW w:type="dxa" w:w="2200"/>
            <w:shd w:fill="FFFFFF" w:val="clear"/>
            <w:tcMar>
              <w:top w:type="dxa" w:w="60"/>
              <w:left w:type="dxa" w:w="80"/>
              <w:bottom w:type="dxa" w:w="60"/>
              <w:right w:type="dxa" w:w="80"/>
            </w:tcMar>
          </w:tcPr>
          <w:p>
            <w:r>
              <w:rPr>
                <w:sz w:val="19"/>
                <w:szCs w:val="19"/>
              </w:rPr>
              <w:t xml:space="preserve">Reset cadence</w:t>
            </w:r>
          </w:p>
        </w:tc>
        <w:tc>
          <w:tcPr>
            <w:tcW w:type="dxa" w:w="3800"/>
            <w:shd w:fill="FFFFFF" w:val="clear"/>
            <w:tcMar>
              <w:top w:type="dxa" w:w="60"/>
              <w:left w:type="dxa" w:w="80"/>
              <w:bottom w:type="dxa" w:w="60"/>
              <w:right w:type="dxa" w:w="80"/>
            </w:tcMar>
          </w:tcPr>
          <w:p>
            <w:r>
              <w:rPr>
                <w:sz w:val="19"/>
                <w:szCs w:val="19"/>
              </w:rPr>
              <w:t xml:space="preserve">Never / Annually / Monthly</w:t>
            </w:r>
          </w:p>
        </w:tc>
        <w:tc>
          <w:tcPr>
            <w:tcW w:type="dxa" w:w="3200"/>
            <w:shd w:fill="FFFFFF" w:val="clear"/>
            <w:tcMar>
              <w:top w:type="dxa" w:w="60"/>
              <w:left w:type="dxa" w:w="80"/>
              <w:bottom w:type="dxa" w:w="60"/>
              <w:right w:type="dxa" w:w="80"/>
            </w:tcMar>
          </w:tcPr>
          <w:p>
            <w:r>
              <w:rPr>
                <w:sz w:val="19"/>
                <w:szCs w:val="19"/>
              </w:rPr>
              <w:t xml:space="preserve">Sequence restarts at 1 every January, or runs indefinitely</w:t>
            </w:r>
          </w:p>
        </w:tc>
      </w:tr>
      <w:tr>
        <w:tc>
          <w:tcPr>
            <w:tcW w:type="dxa" w:w="2200"/>
            <w:shd w:fill="DCE6F1" w:val="clear"/>
            <w:tcMar>
              <w:top w:type="dxa" w:w="60"/>
              <w:left w:type="dxa" w:w="80"/>
              <w:bottom w:type="dxa" w:w="60"/>
              <w:right w:type="dxa" w:w="80"/>
            </w:tcMar>
          </w:tcPr>
          <w:p>
            <w:r>
              <w:rPr>
                <w:sz w:val="19"/>
                <w:szCs w:val="19"/>
              </w:rPr>
              <w:t xml:space="preserve">Padding / length</w:t>
            </w:r>
          </w:p>
        </w:tc>
        <w:tc>
          <w:tcPr>
            <w:tcW w:type="dxa" w:w="3800"/>
            <w:shd w:fill="DCE6F1" w:val="clear"/>
            <w:tcMar>
              <w:top w:type="dxa" w:w="60"/>
              <w:left w:type="dxa" w:w="80"/>
              <w:bottom w:type="dxa" w:w="60"/>
              <w:right w:type="dxa" w:w="80"/>
            </w:tcMar>
          </w:tcPr>
          <w:p>
            <w:r>
              <w:rPr>
                <w:sz w:val="19"/>
                <w:szCs w:val="19"/>
              </w:rPr>
              <w:t xml:space="preserve">Zero-padded digit count</w:t>
            </w:r>
          </w:p>
        </w:tc>
        <w:tc>
          <w:tcPr>
            <w:tcW w:type="dxa" w:w="3200"/>
            <w:shd w:fill="DCE6F1" w:val="clear"/>
            <w:tcMar>
              <w:top w:type="dxa" w:w="60"/>
              <w:left w:type="dxa" w:w="80"/>
              <w:bottom w:type="dxa" w:w="60"/>
              <w:right w:type="dxa" w:w="80"/>
            </w:tcMar>
          </w:tcPr>
          <w:p>
            <w:r>
              <w:rPr>
                <w:sz w:val="19"/>
                <w:szCs w:val="19"/>
              </w:rPr>
              <w:t xml:space="preserve">0001 vs. 1</w:t>
            </w:r>
          </w:p>
        </w:tc>
      </w:tr>
      <w:tr>
        <w:tc>
          <w:tcPr>
            <w:tcW w:type="dxa" w:w="2200"/>
            <w:shd w:fill="FFFFFF" w:val="clear"/>
            <w:tcMar>
              <w:top w:type="dxa" w:w="60"/>
              <w:left w:type="dxa" w:w="80"/>
              <w:bottom w:type="dxa" w:w="60"/>
              <w:right w:type="dxa" w:w="80"/>
            </w:tcMar>
          </w:tcPr>
          <w:p>
            <w:r>
              <w:rPr>
                <w:sz w:val="19"/>
                <w:szCs w:val="19"/>
              </w:rPr>
              <w:t xml:space="preserve">Separator</w:t>
            </w:r>
          </w:p>
        </w:tc>
        <w:tc>
          <w:tcPr>
            <w:tcW w:type="dxa" w:w="3800"/>
            <w:shd w:fill="FFFFFF" w:val="clear"/>
            <w:tcMar>
              <w:top w:type="dxa" w:w="60"/>
              <w:left w:type="dxa" w:w="80"/>
              <w:bottom w:type="dxa" w:w="60"/>
              <w:right w:type="dxa" w:w="80"/>
            </w:tcMar>
          </w:tcPr>
          <w:p>
            <w:r>
              <w:rPr>
                <w:sz w:val="19"/>
                <w:szCs w:val="19"/>
              </w:rPr>
              <w:t xml:space="preserve">Character(s) between components</w:t>
            </w:r>
          </w:p>
        </w:tc>
        <w:tc>
          <w:tcPr>
            <w:tcW w:type="dxa" w:w="3200"/>
            <w:shd w:fill="FFFFFF" w:val="clear"/>
            <w:tcMar>
              <w:top w:type="dxa" w:w="60"/>
              <w:left w:type="dxa" w:w="80"/>
              <w:bottom w:type="dxa" w:w="60"/>
              <w:right w:type="dxa" w:w="80"/>
            </w:tcMar>
          </w:tcPr>
          <w:p>
            <w:r>
              <w:rPr>
                <w:sz w:val="19"/>
                <w:szCs w:val="19"/>
              </w:rPr>
              <w:t xml:space="preserve">“CR-2026-0001” vs. “CR20260001”</w:t>
            </w:r>
          </w:p>
        </w:tc>
      </w:tr>
      <w:tr>
        <w:tc>
          <w:tcPr>
            <w:tcW w:type="dxa" w:w="2200"/>
            <w:shd w:fill="DCE6F1" w:val="clear"/>
            <w:tcMar>
              <w:top w:type="dxa" w:w="60"/>
              <w:left w:type="dxa" w:w="80"/>
              <w:bottom w:type="dxa" w:w="60"/>
              <w:right w:type="dxa" w:w="80"/>
            </w:tcMar>
          </w:tcPr>
          <w:p>
            <w:r>
              <w:rPr>
                <w:sz w:val="19"/>
                <w:szCs w:val="19"/>
              </w:rPr>
              <w:t xml:space="preserve">Uniqueness guarantee</w:t>
            </w:r>
          </w:p>
        </w:tc>
        <w:tc>
          <w:tcPr>
            <w:tcW w:type="dxa" w:w="3800"/>
            <w:shd w:fill="DCE6F1" w:val="clear"/>
            <w:tcMar>
              <w:top w:type="dxa" w:w="60"/>
              <w:left w:type="dxa" w:w="80"/>
              <w:bottom w:type="dxa" w:w="60"/>
              <w:right w:type="dxa" w:w="80"/>
            </w:tcMar>
          </w:tcPr>
          <w:p>
            <w:r>
              <w:rPr>
                <w:sz w:val="19"/>
                <w:szCs w:val="19"/>
              </w:rPr>
              <w:t xml:space="preserve">Must be enforced atomically regardless of format, to prevent duplicate numbers under concurrent creation</w:t>
            </w:r>
          </w:p>
        </w:tc>
        <w:tc>
          <w:tcPr>
            <w:tcW w:type="dxa" w:w="3200"/>
            <w:shd w:fill="DCE6F1" w:val="clear"/>
            <w:tcMar>
              <w:top w:type="dxa" w:w="60"/>
              <w:left w:type="dxa" w:w="80"/>
              <w:bottom w:type="dxa" w:w="60"/>
              <w:right w:type="dxa" w:w="80"/>
            </w:tcMar>
          </w:tcPr>
          <w:p>
            <w:r>
              <w:rPr>
                <w:sz w:val="19"/>
                <w:szCs w:val="19"/>
              </w:rPr>
              <w:t xml:space="preserve">Database sequence or equivalent atomic counter, never a read-then-increment race</w:t>
            </w:r>
          </w:p>
        </w:tc>
      </w:tr>
    </w:tbl>
    <w:p>
      <w:pPr>
        <w:spacing w:after="160"/>
        <w:ind w:left="360"/>
      </w:pPr>
      <w:r>
        <w:rPr>
          <w:i/>
          <w:iCs/>
          <w:color w:val="595959"/>
          <w:sz w:val="20"/>
          <w:szCs w:val="20"/>
        </w:rPr>
        <w:t xml:space="preserve">This is a Section 18.2 configuration item (Product &amp; Facility Configuration), set once per tenant at onboarding — not something each client should need a development engagement to change.</w:t>
      </w:r>
    </w:p>
    <w:p>
      <w:pPr>
        <w:pStyle w:val="Heading2"/>
        <w:keepNext/>
        <w:spacing w:after="140" w:before="320"/>
      </w:pPr>
      <w:r>
        <w:rPr>
          <w:b/>
          <w:bCs/>
          <w:color w:val="2E5496"/>
          <w:sz w:val="26"/>
          <w:szCs w:val="26"/>
        </w:rPr>
        <w:t xml:space="preserve">19.2 Rules Engine</w:t>
      </w:r>
    </w:p>
    <w:p>
      <w:pPr>
        <w:spacing w:after="160"/>
      </w:pPr>
      <w:r>
        <w:rPr>
          <w:sz w:val="21"/>
          <w:szCs w:val="21"/>
        </w:rPr>
        <w:t xml:space="preserve">Every validation this engagement catalogued — mandatory-if-X, hidden-unless-Y, a value comparison that blocks submission — is expressed as structured condition → action data, interpreted at runtime by a rule engine, never embedded as application code. This directly closes the gap NBK's own business team raised and the vendor said was out of scope (Section 1, Design Principles): dynamic rule changes without a code deployment.</w:t>
      </w:r>
    </w:p>
    <w:p>
      <w:pPr>
        <w:pStyle w:val="Heading3"/>
        <w:keepNext/>
        <w:spacing w:after="100" w:before="220"/>
      </w:pPr>
      <w:r>
        <w:rPr>
          <w:b/>
          <w:bCs/>
          <w:color w:val="404040"/>
          <w:sz w:val="22"/>
          <w:szCs w:val="22"/>
        </w:rPr>
        <w:t xml:space="preserve">Rule Schema</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000"/>
      </w:tblGrid>
      <w:tr>
        <w:trPr>
          <w:tblHeader/>
        </w:trPr>
        <w:tc>
          <w:tcPr>
            <w:tcW w:type="dxa" w:w="2400"/>
            <w:shd w:fill="1F3864" w:val="clear"/>
            <w:tcMar>
              <w:top w:type="dxa" w:w="60"/>
              <w:left w:type="dxa" w:w="80"/>
              <w:bottom w:type="dxa" w:w="60"/>
              <w:right w:type="dxa" w:w="80"/>
            </w:tcMar>
          </w:tcPr>
          <w:p>
            <w:r>
              <w:rPr>
                <w:b/>
                <w:bCs/>
                <w:color w:val="FFFFFF"/>
                <w:sz w:val="19"/>
                <w:szCs w:val="19"/>
              </w:rPr>
              <w:t xml:space="preserve">Attribute</w:t>
            </w:r>
          </w:p>
        </w:tc>
        <w:tc>
          <w:tcPr>
            <w:tcW w:type="dxa" w:w="2400"/>
            <w:shd w:fill="1F3864" w:val="clear"/>
            <w:tcMar>
              <w:top w:type="dxa" w:w="60"/>
              <w:left w:type="dxa" w:w="80"/>
              <w:bottom w:type="dxa" w:w="60"/>
              <w:right w:type="dxa" w:w="80"/>
            </w:tcMar>
          </w:tcPr>
          <w:p>
            <w:r>
              <w:rPr>
                <w:b/>
                <w:bCs/>
                <w:color w:val="FFFFFF"/>
                <w:sz w:val="19"/>
                <w:szCs w:val="19"/>
              </w:rPr>
              <w:t xml:space="preserve">Type</w:t>
            </w:r>
          </w:p>
        </w:tc>
        <w:tc>
          <w:tcPr>
            <w:tcW w:type="dxa" w:w="4000"/>
            <w:shd w:fill="1F3864" w:val="clear"/>
            <w:tcMar>
              <w:top w:type="dxa" w:w="60"/>
              <w:left w:type="dxa" w:w="80"/>
              <w:bottom w:type="dxa" w:w="60"/>
              <w:right w:type="dxa" w:w="80"/>
            </w:tcMar>
          </w:tcPr>
          <w:p>
            <w:r>
              <w:rPr>
                <w:b/>
                <w:bCs/>
                <w:color w:val="FFFFFF"/>
                <w:sz w:val="19"/>
                <w:szCs w:val="19"/>
              </w:rPr>
              <w:t xml:space="preserve">Notes</w:t>
            </w:r>
          </w:p>
        </w:tc>
      </w:tr>
      <w:tr>
        <w:tc>
          <w:tcPr>
            <w:tcW w:type="dxa" w:w="2400"/>
            <w:shd w:fill="FFFFFF" w:val="clear"/>
            <w:tcMar>
              <w:top w:type="dxa" w:w="60"/>
              <w:left w:type="dxa" w:w="80"/>
              <w:bottom w:type="dxa" w:w="60"/>
              <w:right w:type="dxa" w:w="80"/>
            </w:tcMar>
          </w:tcPr>
          <w:p>
            <w:r>
              <w:rPr>
                <w:sz w:val="19"/>
                <w:szCs w:val="19"/>
              </w:rPr>
              <w:t xml:space="preserve">rule_id</w:t>
            </w:r>
          </w:p>
        </w:tc>
        <w:tc>
          <w:tcPr>
            <w:tcW w:type="dxa" w:w="2400"/>
            <w:shd w:fill="FFFFFF" w:val="clear"/>
            <w:tcMar>
              <w:top w:type="dxa" w:w="60"/>
              <w:left w:type="dxa" w:w="80"/>
              <w:bottom w:type="dxa" w:w="60"/>
              <w:right w:type="dxa" w:w="80"/>
            </w:tcMar>
          </w:tcPr>
          <w:p>
            <w:r>
              <w:rPr>
                <w:sz w:val="19"/>
                <w:szCs w:val="19"/>
              </w:rPr>
              <w:t xml:space="preserve">UUID</w:t>
            </w:r>
          </w:p>
        </w:tc>
        <w:tc>
          <w:tcPr>
            <w:tcW w:type="dxa" w:w="4000"/>
            <w:shd w:fill="FFFFFF" w:val="clear"/>
            <w:tcMar>
              <w:top w:type="dxa" w:w="60"/>
              <w:left w:type="dxa" w:w="80"/>
              <w:bottom w:type="dxa" w:w="60"/>
              <w:right w:type="dxa" w:w="80"/>
            </w:tcMar>
          </w:tcPr>
          <w:p>
            <w:r>
              <w:rPr>
                <w:sz w:val="19"/>
                <w:szCs w:val="19"/>
              </w:rPr>
              <w:t xml:space="preserve">Primary key</w:t>
            </w:r>
          </w:p>
        </w:tc>
      </w:tr>
      <w:tr>
        <w:tc>
          <w:tcPr>
            <w:tcW w:type="dxa" w:w="2400"/>
            <w:shd w:fill="DCE6F1" w:val="clear"/>
            <w:tcMar>
              <w:top w:type="dxa" w:w="60"/>
              <w:left w:type="dxa" w:w="80"/>
              <w:bottom w:type="dxa" w:w="60"/>
              <w:right w:type="dxa" w:w="80"/>
            </w:tcMar>
          </w:tcPr>
          <w:p>
            <w:r>
              <w:rPr>
                <w:sz w:val="19"/>
                <w:szCs w:val="19"/>
              </w:rPr>
              <w:t xml:space="preserve">tenant_id</w:t>
            </w:r>
          </w:p>
        </w:tc>
        <w:tc>
          <w:tcPr>
            <w:tcW w:type="dxa" w:w="2400"/>
            <w:shd w:fill="DCE6F1" w:val="clear"/>
            <w:tcMar>
              <w:top w:type="dxa" w:w="60"/>
              <w:left w:type="dxa" w:w="80"/>
              <w:bottom w:type="dxa" w:w="60"/>
              <w:right w:type="dxa" w:w="80"/>
            </w:tcMar>
          </w:tcPr>
          <w:p>
            <w:r>
              <w:rPr>
                <w:sz w:val="19"/>
                <w:szCs w:val="19"/>
              </w:rPr>
              <w:t xml:space="preserve">UUID</w:t>
            </w:r>
          </w:p>
        </w:tc>
        <w:tc>
          <w:tcPr>
            <w:tcW w:type="dxa" w:w="4000"/>
            <w:shd w:fill="DCE6F1" w:val="clear"/>
            <w:tcMar>
              <w:top w:type="dxa" w:w="60"/>
              <w:left w:type="dxa" w:w="80"/>
              <w:bottom w:type="dxa" w:w="60"/>
              <w:right w:type="dxa" w:w="80"/>
            </w:tcMar>
          </w:tcPr>
          <w:p>
            <w:r>
              <w:rPr>
                <w:sz w:val="19"/>
                <w:szCs w:val="19"/>
              </w:rPr>
              <w:t xml:space="preserve">NULL for a rule shipped in the core library and available to every tenant</w:t>
            </w:r>
          </w:p>
        </w:tc>
      </w:tr>
      <w:tr>
        <w:tc>
          <w:tcPr>
            <w:tcW w:type="dxa" w:w="2400"/>
            <w:shd w:fill="FFFFFF" w:val="clear"/>
            <w:tcMar>
              <w:top w:type="dxa" w:w="60"/>
              <w:left w:type="dxa" w:w="80"/>
              <w:bottom w:type="dxa" w:w="60"/>
              <w:right w:type="dxa" w:w="80"/>
            </w:tcMar>
          </w:tcPr>
          <w:p>
            <w:r>
              <w:rPr>
                <w:sz w:val="19"/>
                <w:szCs w:val="19"/>
              </w:rPr>
              <w:t xml:space="preserve">rule_name</w:t>
            </w:r>
          </w:p>
        </w:tc>
        <w:tc>
          <w:tcPr>
            <w:tcW w:type="dxa" w:w="2400"/>
            <w:shd w:fill="FFFFFF" w:val="clear"/>
            <w:tcMar>
              <w:top w:type="dxa" w:w="60"/>
              <w:left w:type="dxa" w:w="80"/>
              <w:bottom w:type="dxa" w:w="60"/>
              <w:right w:type="dxa" w:w="80"/>
            </w:tcMar>
          </w:tcPr>
          <w:p>
            <w:r>
              <w:rPr>
                <w:sz w:val="19"/>
                <w:szCs w:val="19"/>
              </w:rPr>
              <w:t xml:space="preserve">String</w:t>
            </w:r>
          </w:p>
        </w:tc>
        <w:tc>
          <w:tcPr>
            <w:tcW w:type="dxa" w:w="4000"/>
            <w:shd w:fill="FFFFFF" w:val="clear"/>
            <w:tcMar>
              <w:top w:type="dxa" w:w="60"/>
              <w:left w:type="dxa" w:w="80"/>
              <w:bottom w:type="dxa" w:w="60"/>
              <w:right w:type="dxa" w:w="80"/>
            </w:tcMar>
          </w:tcPr>
          <w:p>
            <w:r>
              <w:rPr>
                <w:sz w:val="19"/>
                <w:szCs w:val="19"/>
              </w:rPr>
              <w:t xml:space="preserve">Human-readable, e.g. “Extension Count visibility”</w:t>
            </w:r>
          </w:p>
        </w:tc>
      </w:tr>
      <w:tr>
        <w:tc>
          <w:tcPr>
            <w:tcW w:type="dxa" w:w="2400"/>
            <w:shd w:fill="DCE6F1" w:val="clear"/>
            <w:tcMar>
              <w:top w:type="dxa" w:w="60"/>
              <w:left w:type="dxa" w:w="80"/>
              <w:bottom w:type="dxa" w:w="60"/>
              <w:right w:type="dxa" w:w="80"/>
            </w:tcMar>
          </w:tcPr>
          <w:p>
            <w:r>
              <w:rPr>
                <w:sz w:val="19"/>
                <w:szCs w:val="19"/>
              </w:rPr>
              <w:t xml:space="preserve">trigger_type</w:t>
            </w:r>
          </w:p>
        </w:tc>
        <w:tc>
          <w:tcPr>
            <w:tcW w:type="dxa" w:w="2400"/>
            <w:shd w:fill="DCE6F1" w:val="clear"/>
            <w:tcMar>
              <w:top w:type="dxa" w:w="60"/>
              <w:left w:type="dxa" w:w="80"/>
              <w:bottom w:type="dxa" w:w="60"/>
              <w:right w:type="dxa" w:w="80"/>
            </w:tcMar>
          </w:tcPr>
          <w:p>
            <w:r>
              <w:rPr>
                <w:sz w:val="19"/>
                <w:szCs w:val="19"/>
              </w:rPr>
              <w:t xml:space="preserve">Enum</w:t>
            </w:r>
          </w:p>
        </w:tc>
        <w:tc>
          <w:tcPr>
            <w:tcW w:type="dxa" w:w="4000"/>
            <w:shd w:fill="DCE6F1" w:val="clear"/>
            <w:tcMar>
              <w:top w:type="dxa" w:w="60"/>
              <w:left w:type="dxa" w:w="80"/>
              <w:bottom w:type="dxa" w:w="60"/>
              <w:right w:type="dxa" w:w="80"/>
            </w:tcMar>
          </w:tcPr>
          <w:p>
            <w:r>
              <w:rPr>
                <w:sz w:val="19"/>
                <w:szCs w:val="19"/>
              </w:rPr>
              <w:t xml:space="preserve">request_type_equals / field_value_compares / field_changed / record_submitted / scheduled_date_reached (requires the Section 23.4 scheduler)</w:t>
            </w:r>
          </w:p>
        </w:tc>
      </w:tr>
      <w:tr>
        <w:tc>
          <w:tcPr>
            <w:tcW w:type="dxa" w:w="2400"/>
            <w:shd w:fill="FFFFFF" w:val="clear"/>
            <w:tcMar>
              <w:top w:type="dxa" w:w="60"/>
              <w:left w:type="dxa" w:w="80"/>
              <w:bottom w:type="dxa" w:w="60"/>
              <w:right w:type="dxa" w:w="80"/>
            </w:tcMar>
          </w:tcPr>
          <w:p>
            <w:r>
              <w:rPr>
                <w:sz w:val="19"/>
                <w:szCs w:val="19"/>
              </w:rPr>
              <w:t xml:space="preserve">condition</w:t>
            </w:r>
          </w:p>
        </w:tc>
        <w:tc>
          <w:tcPr>
            <w:tcW w:type="dxa" w:w="2400"/>
            <w:shd w:fill="FFFFFF" w:val="clear"/>
            <w:tcMar>
              <w:top w:type="dxa" w:w="60"/>
              <w:left w:type="dxa" w:w="80"/>
              <w:bottom w:type="dxa" w:w="60"/>
              <w:right w:type="dxa" w:w="80"/>
            </w:tcMar>
          </w:tcPr>
          <w:p>
            <w:r>
              <w:rPr>
                <w:sz w:val="19"/>
                <w:szCs w:val="19"/>
              </w:rPr>
              <w:t xml:space="preserve">Structured expression</w:t>
            </w:r>
          </w:p>
        </w:tc>
        <w:tc>
          <w:tcPr>
            <w:tcW w:type="dxa" w:w="4000"/>
            <w:shd w:fill="FFFFFF" w:val="clear"/>
            <w:tcMar>
              <w:top w:type="dxa" w:w="60"/>
              <w:left w:type="dxa" w:w="80"/>
              <w:bottom w:type="dxa" w:w="60"/>
              <w:right w:type="dxa" w:w="80"/>
            </w:tcMar>
          </w:tcPr>
          <w:p>
            <w:r>
              <w:rPr>
                <w:sz w:val="19"/>
                <w:szCs w:val="19"/>
              </w:rPr>
              <w:t xml:space="preserve">e.g. { field: "request_type", operator: "equals", value: "Extension" }</w:t>
            </w:r>
          </w:p>
        </w:tc>
      </w:tr>
      <w:tr>
        <w:tc>
          <w:tcPr>
            <w:tcW w:type="dxa" w:w="2400"/>
            <w:shd w:fill="DCE6F1" w:val="clear"/>
            <w:tcMar>
              <w:top w:type="dxa" w:w="60"/>
              <w:left w:type="dxa" w:w="80"/>
              <w:bottom w:type="dxa" w:w="60"/>
              <w:right w:type="dxa" w:w="80"/>
            </w:tcMar>
          </w:tcPr>
          <w:p>
            <w:r>
              <w:rPr>
                <w:sz w:val="19"/>
                <w:szCs w:val="19"/>
              </w:rPr>
              <w:t xml:space="preserve">target_field</w:t>
            </w:r>
          </w:p>
        </w:tc>
        <w:tc>
          <w:tcPr>
            <w:tcW w:type="dxa" w:w="2400"/>
            <w:shd w:fill="DCE6F1" w:val="clear"/>
            <w:tcMar>
              <w:top w:type="dxa" w:w="60"/>
              <w:left w:type="dxa" w:w="80"/>
              <w:bottom w:type="dxa" w:w="60"/>
              <w:right w:type="dxa" w:w="80"/>
            </w:tcMar>
          </w:tcPr>
          <w:p>
            <w:r>
              <w:rPr>
                <w:sz w:val="19"/>
                <w:szCs w:val="19"/>
              </w:rPr>
              <w:t xml:space="preserve">field_id reference</w:t>
            </w:r>
          </w:p>
        </w:tc>
        <w:tc>
          <w:tcPr>
            <w:tcW w:type="dxa" w:w="4000"/>
            <w:shd w:fill="DCE6F1" w:val="clear"/>
            <w:tcMar>
              <w:top w:type="dxa" w:w="60"/>
              <w:left w:type="dxa" w:w="80"/>
              <w:bottom w:type="dxa" w:w="60"/>
              <w:right w:type="dxa" w:w="80"/>
            </w:tcMar>
          </w:tcPr>
          <w:p>
            <w:r>
              <w:rPr>
                <w:sz w:val="19"/>
                <w:szCs w:val="19"/>
              </w:rPr>
              <w:t xml:space="preserve">Which field this rule governs</w:t>
            </w:r>
          </w:p>
        </w:tc>
      </w:tr>
      <w:tr>
        <w:tc>
          <w:tcPr>
            <w:tcW w:type="dxa" w:w="2400"/>
            <w:shd w:fill="FFFFFF" w:val="clear"/>
            <w:tcMar>
              <w:top w:type="dxa" w:w="60"/>
              <w:left w:type="dxa" w:w="80"/>
              <w:bottom w:type="dxa" w:w="60"/>
              <w:right w:type="dxa" w:w="80"/>
            </w:tcMar>
          </w:tcPr>
          <w:p>
            <w:r>
              <w:rPr>
                <w:sz w:val="19"/>
                <w:szCs w:val="19"/>
              </w:rPr>
              <w:t xml:space="preserve">action</w:t>
            </w:r>
          </w:p>
        </w:tc>
        <w:tc>
          <w:tcPr>
            <w:tcW w:type="dxa" w:w="2400"/>
            <w:shd w:fill="FFFFFF" w:val="clear"/>
            <w:tcMar>
              <w:top w:type="dxa" w:w="60"/>
              <w:left w:type="dxa" w:w="80"/>
              <w:bottom w:type="dxa" w:w="60"/>
              <w:right w:type="dxa" w:w="80"/>
            </w:tcMar>
          </w:tcPr>
          <w:p>
            <w:r>
              <w:rPr>
                <w:sz w:val="19"/>
                <w:szCs w:val="19"/>
              </w:rPr>
              <w:t xml:space="preserve">Enum</w:t>
            </w:r>
          </w:p>
        </w:tc>
        <w:tc>
          <w:tcPr>
            <w:tcW w:type="dxa" w:w="4000"/>
            <w:shd w:fill="FFFFFF" w:val="clear"/>
            <w:tcMar>
              <w:top w:type="dxa" w:w="60"/>
              <w:left w:type="dxa" w:w="80"/>
              <w:bottom w:type="dxa" w:w="60"/>
              <w:right w:type="dxa" w:w="80"/>
            </w:tcMar>
          </w:tcPr>
          <w:p>
            <w:r>
              <w:rPr>
                <w:sz w:val="19"/>
                <w:szCs w:val="19"/>
              </w:rPr>
              <w:t xml:space="preserve">set_mandatory / set_optional / set_visible / set_hidden / set_locked / set_default_value / block_submission / require_approval_workflow</w:t>
            </w:r>
          </w:p>
        </w:tc>
      </w:tr>
      <w:tr>
        <w:tc>
          <w:tcPr>
            <w:tcW w:type="dxa" w:w="2400"/>
            <w:shd w:fill="DCE6F1" w:val="clear"/>
            <w:tcMar>
              <w:top w:type="dxa" w:w="60"/>
              <w:left w:type="dxa" w:w="80"/>
              <w:bottom w:type="dxa" w:w="60"/>
              <w:right w:type="dxa" w:w="80"/>
            </w:tcMar>
          </w:tcPr>
          <w:p>
            <w:r>
              <w:rPr>
                <w:sz w:val="19"/>
                <w:szCs w:val="19"/>
              </w:rPr>
              <w:t xml:space="preserve">action_params</w:t>
            </w:r>
          </w:p>
        </w:tc>
        <w:tc>
          <w:tcPr>
            <w:tcW w:type="dxa" w:w="2400"/>
            <w:shd w:fill="DCE6F1" w:val="clear"/>
            <w:tcMar>
              <w:top w:type="dxa" w:w="60"/>
              <w:left w:type="dxa" w:w="80"/>
              <w:bottom w:type="dxa" w:w="60"/>
              <w:right w:type="dxa" w:w="80"/>
            </w:tcMar>
          </w:tcPr>
          <w:p>
            <w:r>
              <w:rPr>
                <w:sz w:val="19"/>
                <w:szCs w:val="19"/>
              </w:rPr>
              <w:t xml:space="preserve">JSON</w:t>
            </w:r>
          </w:p>
        </w:tc>
        <w:tc>
          <w:tcPr>
            <w:tcW w:type="dxa" w:w="4000"/>
            <w:shd w:fill="DCE6F1" w:val="clear"/>
            <w:tcMar>
              <w:top w:type="dxa" w:w="60"/>
              <w:left w:type="dxa" w:w="80"/>
              <w:bottom w:type="dxa" w:w="60"/>
              <w:right w:type="dxa" w:w="80"/>
            </w:tcMar>
          </w:tcPr>
          <w:p>
            <w:r>
              <w:rPr>
                <w:sz w:val="19"/>
                <w:szCs w:val="19"/>
              </w:rPr>
              <w:t xml:space="preserve">e.g. { approval_workflow: "accept_shortfall" }</w:t>
            </w:r>
          </w:p>
        </w:tc>
      </w:tr>
      <w:tr>
        <w:tc>
          <w:tcPr>
            <w:tcW w:type="dxa" w:w="2400"/>
            <w:shd w:fill="FFFFFF" w:val="clear"/>
            <w:tcMar>
              <w:top w:type="dxa" w:w="60"/>
              <w:left w:type="dxa" w:w="80"/>
              <w:bottom w:type="dxa" w:w="60"/>
              <w:right w:type="dxa" w:w="80"/>
            </w:tcMar>
          </w:tcPr>
          <w:p>
            <w:r>
              <w:rPr>
                <w:sz w:val="19"/>
                <w:szCs w:val="19"/>
              </w:rPr>
              <w:t xml:space="preserve">priority</w:t>
            </w:r>
          </w:p>
        </w:tc>
        <w:tc>
          <w:tcPr>
            <w:tcW w:type="dxa" w:w="2400"/>
            <w:shd w:fill="FFFFFF" w:val="clear"/>
            <w:tcMar>
              <w:top w:type="dxa" w:w="60"/>
              <w:left w:type="dxa" w:w="80"/>
              <w:bottom w:type="dxa" w:w="60"/>
              <w:right w:type="dxa" w:w="80"/>
            </w:tcMar>
          </w:tcPr>
          <w:p>
            <w:r>
              <w:rPr>
                <w:sz w:val="19"/>
                <w:szCs w:val="19"/>
              </w:rPr>
              <w:t xml:space="preserve">Integer</w:t>
            </w:r>
          </w:p>
        </w:tc>
        <w:tc>
          <w:tcPr>
            <w:tcW w:type="dxa" w:w="4000"/>
            <w:shd w:fill="FFFFFF" w:val="clear"/>
            <w:tcMar>
              <w:top w:type="dxa" w:w="60"/>
              <w:left w:type="dxa" w:w="80"/>
              <w:bottom w:type="dxa" w:w="60"/>
              <w:right w:type="dxa" w:w="80"/>
            </w:tcMar>
          </w:tcPr>
          <w:p>
            <w:r>
              <w:rPr>
                <w:sz w:val="19"/>
                <w:szCs w:val="19"/>
              </w:rPr>
              <w:t xml:space="preserve">Evaluation order when multiple rules target the same field</w:t>
            </w:r>
          </w:p>
        </w:tc>
      </w:tr>
      <w:tr>
        <w:tc>
          <w:tcPr>
            <w:tcW w:type="dxa" w:w="2400"/>
            <w:shd w:fill="DCE6F1" w:val="clear"/>
            <w:tcMar>
              <w:top w:type="dxa" w:w="60"/>
              <w:left w:type="dxa" w:w="80"/>
              <w:bottom w:type="dxa" w:w="60"/>
              <w:right w:type="dxa" w:w="80"/>
            </w:tcMar>
          </w:tcPr>
          <w:p>
            <w:r>
              <w:rPr>
                <w:sz w:val="19"/>
                <w:szCs w:val="19"/>
              </w:rPr>
              <w:t xml:space="preserve">active</w:t>
            </w:r>
          </w:p>
        </w:tc>
        <w:tc>
          <w:tcPr>
            <w:tcW w:type="dxa" w:w="2400"/>
            <w:shd w:fill="DCE6F1" w:val="clear"/>
            <w:tcMar>
              <w:top w:type="dxa" w:w="60"/>
              <w:left w:type="dxa" w:w="80"/>
              <w:bottom w:type="dxa" w:w="60"/>
              <w:right w:type="dxa" w:w="80"/>
            </w:tcMar>
          </w:tcPr>
          <w:p>
            <w:r>
              <w:rPr>
                <w:sz w:val="19"/>
                <w:szCs w:val="19"/>
              </w:rPr>
              <w:t xml:space="preserve">Boolean</w:t>
            </w:r>
          </w:p>
        </w:tc>
        <w:tc>
          <w:tcPr>
            <w:tcW w:type="dxa" w:w="4000"/>
            <w:shd w:fill="DCE6F1" w:val="clear"/>
            <w:tcMar>
              <w:top w:type="dxa" w:w="60"/>
              <w:left w:type="dxa" w:w="80"/>
              <w:bottom w:type="dxa" w:w="60"/>
              <w:right w:type="dxa" w:w="80"/>
            </w:tcMar>
          </w:tcPr>
          <w:p>
            <w:r>
              <w:rPr>
                <w:sz w:val="19"/>
                <w:szCs w:val="19"/>
              </w:rPr>
              <w:t xml:space="preserve">Enable/disable without deleting rule history</w:t>
            </w:r>
          </w:p>
        </w:tc>
      </w:tr>
    </w:tbl>
    <w:p>
      <w:pPr>
        <w:pStyle w:val="Heading3"/>
        <w:keepNext/>
        <w:spacing w:after="100" w:before="220"/>
      </w:pPr>
      <w:r>
        <w:rPr>
          <w:b/>
          <w:bCs/>
          <w:color w:val="404040"/>
          <w:sz w:val="22"/>
          <w:szCs w:val="22"/>
        </w:rPr>
        <w:t xml:space="preserve">Worked Examples, Expressed as Configuration (Not Code)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1800"/>
        <w:gridCol w:w="2000"/>
      </w:tblGrid>
      <w:tr>
        <w:trPr>
          <w:tblHeader/>
        </w:trPr>
        <w:tc>
          <w:tcPr>
            <w:tcW w:type="dxa" w:w="2600"/>
            <w:shd w:fill="1F3864" w:val="clear"/>
            <w:tcMar>
              <w:top w:type="dxa" w:w="60"/>
              <w:left w:type="dxa" w:w="80"/>
              <w:bottom w:type="dxa" w:w="60"/>
              <w:right w:type="dxa" w:w="80"/>
            </w:tcMar>
          </w:tcPr>
          <w:p>
            <w:r>
              <w:rPr>
                <w:b/>
                <w:bCs/>
                <w:color w:val="FFFFFF"/>
                <w:sz w:val="19"/>
                <w:szCs w:val="19"/>
              </w:rPr>
              <w:t xml:space="preserve">Rule Name</w:t>
            </w:r>
          </w:p>
        </w:tc>
        <w:tc>
          <w:tcPr>
            <w:tcW w:type="dxa" w:w="2600"/>
            <w:shd w:fill="1F3864" w:val="clear"/>
            <w:tcMar>
              <w:top w:type="dxa" w:w="60"/>
              <w:left w:type="dxa" w:w="80"/>
              <w:bottom w:type="dxa" w:w="60"/>
              <w:right w:type="dxa" w:w="80"/>
            </w:tcMar>
          </w:tcPr>
          <w:p>
            <w:r>
              <w:rPr>
                <w:b/>
                <w:bCs/>
                <w:color w:val="FFFFFF"/>
                <w:sz w:val="19"/>
                <w:szCs w:val="19"/>
              </w:rPr>
              <w:t xml:space="preserve">Condition</w:t>
            </w:r>
          </w:p>
        </w:tc>
        <w:tc>
          <w:tcPr>
            <w:tcW w:type="dxa" w:w="1800"/>
            <w:shd w:fill="1F3864" w:val="clear"/>
            <w:tcMar>
              <w:top w:type="dxa" w:w="60"/>
              <w:left w:type="dxa" w:w="80"/>
              <w:bottom w:type="dxa" w:w="60"/>
              <w:right w:type="dxa" w:w="80"/>
            </w:tcMar>
          </w:tcPr>
          <w:p>
            <w:r>
              <w:rPr>
                <w:b/>
                <w:bCs/>
                <w:color w:val="FFFFFF"/>
                <w:sz w:val="19"/>
                <w:szCs w:val="19"/>
              </w:rPr>
              <w:t xml:space="preserve">Target Field</w:t>
            </w:r>
          </w:p>
        </w:tc>
        <w:tc>
          <w:tcPr>
            <w:tcW w:type="dxa" w:w="2000"/>
            <w:shd w:fill="1F3864" w:val="clear"/>
            <w:tcMar>
              <w:top w:type="dxa" w:w="60"/>
              <w:left w:type="dxa" w:w="80"/>
              <w:bottom w:type="dxa" w:w="60"/>
              <w:right w:type="dxa" w:w="80"/>
            </w:tcMar>
          </w:tcPr>
          <w:p>
            <w:r>
              <w:rPr>
                <w:b/>
                <w:bCs/>
                <w:color w:val="FFFFFF"/>
                <w:sz w:val="19"/>
                <w:szCs w:val="19"/>
              </w:rPr>
              <w:t xml:space="preserve">Action</w:t>
            </w:r>
          </w:p>
        </w:tc>
      </w:tr>
      <w:tr>
        <w:tc>
          <w:tcPr>
            <w:tcW w:type="dxa" w:w="2600"/>
            <w:shd w:fill="FFFFFF" w:val="clear"/>
            <w:tcMar>
              <w:top w:type="dxa" w:w="60"/>
              <w:left w:type="dxa" w:w="80"/>
              <w:bottom w:type="dxa" w:w="60"/>
              <w:right w:type="dxa" w:w="80"/>
            </w:tcMar>
          </w:tcPr>
          <w:p>
            <w:r>
              <w:rPr>
                <w:sz w:val="19"/>
                <w:szCs w:val="19"/>
              </w:rPr>
              <w:t xml:space="preserve">Extension Count visibility</w:t>
            </w:r>
          </w:p>
        </w:tc>
        <w:tc>
          <w:tcPr>
            <w:tcW w:type="dxa" w:w="2600"/>
            <w:shd w:fill="FFFFFF" w:val="clear"/>
            <w:tcMar>
              <w:top w:type="dxa" w:w="60"/>
              <w:left w:type="dxa" w:w="80"/>
              <w:bottom w:type="dxa" w:w="60"/>
              <w:right w:type="dxa" w:w="80"/>
            </w:tcMar>
          </w:tcPr>
          <w:p>
            <w:r>
              <w:rPr>
                <w:sz w:val="19"/>
                <w:szCs w:val="19"/>
              </w:rPr>
              <w:t xml:space="preserve">request_type equals “Extension”</w:t>
            </w:r>
          </w:p>
        </w:tc>
        <w:tc>
          <w:tcPr>
            <w:tcW w:type="dxa" w:w="1800"/>
            <w:shd w:fill="FFFFFF" w:val="clear"/>
            <w:tcMar>
              <w:top w:type="dxa" w:w="60"/>
              <w:left w:type="dxa" w:w="80"/>
              <w:bottom w:type="dxa" w:w="60"/>
              <w:right w:type="dxa" w:w="80"/>
            </w:tcMar>
          </w:tcPr>
          <w:p>
            <w:r>
              <w:rPr>
                <w:sz w:val="19"/>
                <w:szCs w:val="19"/>
              </w:rPr>
              <w:t xml:space="preserve">extension_count</w:t>
            </w:r>
          </w:p>
        </w:tc>
        <w:tc>
          <w:tcPr>
            <w:tcW w:type="dxa" w:w="2000"/>
            <w:shd w:fill="FFFFFF" w:val="clear"/>
            <w:tcMar>
              <w:top w:type="dxa" w:w="60"/>
              <w:left w:type="dxa" w:w="80"/>
              <w:bottom w:type="dxa" w:w="60"/>
              <w:right w:type="dxa" w:w="80"/>
            </w:tcMar>
          </w:tcPr>
          <w:p>
            <w:r>
              <w:rPr>
                <w:sz w:val="19"/>
                <w:szCs w:val="19"/>
              </w:rPr>
              <w:t xml:space="preserve">set_visible; source = auto-increment</w:t>
            </w:r>
          </w:p>
        </w:tc>
      </w:tr>
      <w:tr>
        <w:tc>
          <w:tcPr>
            <w:tcW w:type="dxa" w:w="2600"/>
            <w:shd w:fill="DCE6F1" w:val="clear"/>
            <w:tcMar>
              <w:top w:type="dxa" w:w="60"/>
              <w:left w:type="dxa" w:w="80"/>
              <w:bottom w:type="dxa" w:w="60"/>
              <w:right w:type="dxa" w:w="80"/>
            </w:tcMar>
          </w:tcPr>
          <w:p>
            <w:r>
              <w:rPr>
                <w:sz w:val="19"/>
                <w:szCs w:val="19"/>
              </w:rPr>
              <w:t xml:space="preserve">Coverage shortfall gate</w:t>
            </w:r>
          </w:p>
        </w:tc>
        <w:tc>
          <w:tcPr>
            <w:tcW w:type="dxa" w:w="2600"/>
            <w:shd w:fill="DCE6F1" w:val="clear"/>
            <w:tcMar>
              <w:top w:type="dxa" w:w="60"/>
              <w:left w:type="dxa" w:w="80"/>
              <w:bottom w:type="dxa" w:w="60"/>
              <w:right w:type="dxa" w:w="80"/>
            </w:tcMar>
          </w:tcPr>
          <w:p>
            <w:r>
              <w:rPr>
                <w:sz w:val="19"/>
                <w:szCs w:val="19"/>
              </w:rPr>
              <w:t xml:space="preserve">actual_coverage_ratio &lt; minimum_contractual_coverage_ratio</w:t>
            </w:r>
          </w:p>
        </w:tc>
        <w:tc>
          <w:tcPr>
            <w:tcW w:type="dxa" w:w="1800"/>
            <w:shd w:fill="DCE6F1" w:val="clear"/>
            <w:tcMar>
              <w:top w:type="dxa" w:w="60"/>
              <w:left w:type="dxa" w:w="80"/>
              <w:bottom w:type="dxa" w:w="60"/>
              <w:right w:type="dxa" w:w="80"/>
            </w:tcMar>
          </w:tcPr>
          <w:p>
            <w:r>
              <w:rPr>
                <w:sz w:val="19"/>
                <w:szCs w:val="19"/>
              </w:rPr>
              <w:t xml:space="preserve">submission</w:t>
            </w:r>
          </w:p>
        </w:tc>
        <w:tc>
          <w:tcPr>
            <w:tcW w:type="dxa" w:w="2000"/>
            <w:shd w:fill="DCE6F1" w:val="clear"/>
            <w:tcMar>
              <w:top w:type="dxa" w:w="60"/>
              <w:left w:type="dxa" w:w="80"/>
              <w:bottom w:type="dxa" w:w="60"/>
              <w:right w:type="dxa" w:w="80"/>
            </w:tcMar>
          </w:tcPr>
          <w:p>
            <w:r>
              <w:rPr>
                <w:sz w:val="19"/>
                <w:szCs w:val="19"/>
              </w:rPr>
              <w:t xml:space="preserve">block_submission UNLESS accept_shortfall_workflow completed</w:t>
            </w:r>
          </w:p>
        </w:tc>
      </w:tr>
      <w:tr>
        <w:tc>
          <w:tcPr>
            <w:tcW w:type="dxa" w:w="2600"/>
            <w:shd w:fill="FFFFFF" w:val="clear"/>
            <w:tcMar>
              <w:top w:type="dxa" w:w="60"/>
              <w:left w:type="dxa" w:w="80"/>
              <w:bottom w:type="dxa" w:w="60"/>
              <w:right w:type="dxa" w:w="80"/>
            </w:tcMar>
          </w:tcPr>
          <w:p>
            <w:r>
              <w:rPr>
                <w:sz w:val="19"/>
                <w:szCs w:val="19"/>
              </w:rPr>
              <w:t xml:space="preserve">Pricing exception justification</w:t>
            </w:r>
          </w:p>
        </w:tc>
        <w:tc>
          <w:tcPr>
            <w:tcW w:type="dxa" w:w="2600"/>
            <w:shd w:fill="FFFFFF" w:val="clear"/>
            <w:tcMar>
              <w:top w:type="dxa" w:w="60"/>
              <w:left w:type="dxa" w:w="80"/>
              <w:bottom w:type="dxa" w:w="60"/>
              <w:right w:type="dxa" w:w="80"/>
            </w:tcMar>
          </w:tcPr>
          <w:p>
            <w:r>
              <w:rPr>
                <w:sz w:val="19"/>
                <w:szCs w:val="19"/>
              </w:rPr>
              <w:t xml:space="preserve">proposed_rate &lt; existing_rate</w:t>
            </w:r>
          </w:p>
        </w:tc>
        <w:tc>
          <w:tcPr>
            <w:tcW w:type="dxa" w:w="1800"/>
            <w:shd w:fill="FFFFFF" w:val="clear"/>
            <w:tcMar>
              <w:top w:type="dxa" w:w="60"/>
              <w:left w:type="dxa" w:w="80"/>
              <w:bottom w:type="dxa" w:w="60"/>
              <w:right w:type="dxa" w:w="80"/>
            </w:tcMar>
          </w:tcPr>
          <w:p>
            <w:r>
              <w:rPr>
                <w:sz w:val="19"/>
                <w:szCs w:val="19"/>
              </w:rPr>
              <w:t xml:space="preserve">pricing_justification</w:t>
            </w:r>
          </w:p>
        </w:tc>
        <w:tc>
          <w:tcPr>
            <w:tcW w:type="dxa" w:w="2000"/>
            <w:shd w:fill="FFFFFF" w:val="clear"/>
            <w:tcMar>
              <w:top w:type="dxa" w:w="60"/>
              <w:left w:type="dxa" w:w="80"/>
              <w:bottom w:type="dxa" w:w="60"/>
              <w:right w:type="dxa" w:w="80"/>
            </w:tcMar>
          </w:tcPr>
          <w:p>
            <w:r>
              <w:rPr>
                <w:sz w:val="19"/>
                <w:szCs w:val="19"/>
              </w:rPr>
              <w:t xml:space="preserve">set_mandatory</w:t>
            </w:r>
          </w:p>
        </w:tc>
      </w:tr>
      <w:tr>
        <w:tc>
          <w:tcPr>
            <w:tcW w:type="dxa" w:w="2600"/>
            <w:shd w:fill="DCE6F1" w:val="clear"/>
            <w:tcMar>
              <w:top w:type="dxa" w:w="60"/>
              <w:left w:type="dxa" w:w="80"/>
              <w:bottom w:type="dxa" w:w="60"/>
              <w:right w:type="dxa" w:w="80"/>
            </w:tcMar>
          </w:tcPr>
          <w:p>
            <w:r>
              <w:rPr>
                <w:sz w:val="19"/>
                <w:szCs w:val="19"/>
              </w:rPr>
              <w:t xml:space="preserve">Connected-party routing</w:t>
            </w:r>
          </w:p>
        </w:tc>
        <w:tc>
          <w:tcPr>
            <w:tcW w:type="dxa" w:w="2600"/>
            <w:shd w:fill="DCE6F1" w:val="clear"/>
            <w:tcMar>
              <w:top w:type="dxa" w:w="60"/>
              <w:left w:type="dxa" w:w="80"/>
              <w:bottom w:type="dxa" w:w="60"/>
              <w:right w:type="dxa" w:w="80"/>
            </w:tcMar>
          </w:tcPr>
          <w:p>
            <w:r>
              <w:rPr>
                <w:sz w:val="19"/>
                <w:szCs w:val="19"/>
              </w:rPr>
              <w:t xml:space="preserve">borrower.is_connected_party equals true</w:t>
            </w:r>
          </w:p>
        </w:tc>
        <w:tc>
          <w:tcPr>
            <w:tcW w:type="dxa" w:w="1800"/>
            <w:shd w:fill="DCE6F1" w:val="clear"/>
            <w:tcMar>
              <w:top w:type="dxa" w:w="60"/>
              <w:left w:type="dxa" w:w="80"/>
              <w:bottom w:type="dxa" w:w="60"/>
              <w:right w:type="dxa" w:w="80"/>
            </w:tcMar>
          </w:tcPr>
          <w:p>
            <w:r>
              <w:rPr>
                <w:sz w:val="19"/>
                <w:szCs w:val="19"/>
              </w:rPr>
              <w:t xml:space="preserve">committee_level</w:t>
            </w:r>
          </w:p>
        </w:tc>
        <w:tc>
          <w:tcPr>
            <w:tcW w:type="dxa" w:w="2000"/>
            <w:shd w:fill="DCE6F1" w:val="clear"/>
            <w:tcMar>
              <w:top w:type="dxa" w:w="60"/>
              <w:left w:type="dxa" w:w="80"/>
              <w:bottom w:type="dxa" w:w="60"/>
              <w:right w:type="dxa" w:w="80"/>
            </w:tcMar>
          </w:tcPr>
          <w:p>
            <w:r>
              <w:rPr>
                <w:sz w:val="19"/>
                <w:szCs w:val="19"/>
              </w:rPr>
              <w:t xml:space="preserve">set_default_value = highest configured level; set_locked = true</w:t>
            </w:r>
          </w:p>
        </w:tc>
      </w:tr>
      <w:tr>
        <w:tc>
          <w:tcPr>
            <w:tcW w:type="dxa" w:w="2600"/>
            <w:shd w:fill="FFFFFF" w:val="clear"/>
            <w:tcMar>
              <w:top w:type="dxa" w:w="60"/>
              <w:left w:type="dxa" w:w="80"/>
              <w:bottom w:type="dxa" w:w="60"/>
              <w:right w:type="dxa" w:w="80"/>
            </w:tcMar>
          </w:tcPr>
          <w:p>
            <w:r>
              <w:rPr>
                <w:sz w:val="19"/>
                <w:szCs w:val="19"/>
              </w:rPr>
              <w:t xml:space="preserve">Non-cash fixed/revolving</w:t>
            </w:r>
          </w:p>
        </w:tc>
        <w:tc>
          <w:tcPr>
            <w:tcW w:type="dxa" w:w="2600"/>
            <w:shd w:fill="FFFFFF" w:val="clear"/>
            <w:tcMar>
              <w:top w:type="dxa" w:w="60"/>
              <w:left w:type="dxa" w:w="80"/>
              <w:bottom w:type="dxa" w:w="60"/>
              <w:right w:type="dxa" w:w="80"/>
            </w:tcMar>
          </w:tcPr>
          <w:p>
            <w:r>
              <w:rPr>
                <w:sz w:val="19"/>
                <w:szCs w:val="19"/>
              </w:rPr>
              <w:t xml:space="preserve">facility_type.category equals “non_cash”</w:t>
            </w:r>
          </w:p>
        </w:tc>
        <w:tc>
          <w:tcPr>
            <w:tcW w:type="dxa" w:w="1800"/>
            <w:shd w:fill="FFFFFF" w:val="clear"/>
            <w:tcMar>
              <w:top w:type="dxa" w:w="60"/>
              <w:left w:type="dxa" w:w="80"/>
              <w:bottom w:type="dxa" w:w="60"/>
              <w:right w:type="dxa" w:w="80"/>
            </w:tcMar>
          </w:tcPr>
          <w:p>
            <w:r>
              <w:rPr>
                <w:sz w:val="19"/>
                <w:szCs w:val="19"/>
              </w:rPr>
              <w:t xml:space="preserve">fixed_or_revolving</w:t>
            </w:r>
          </w:p>
        </w:tc>
        <w:tc>
          <w:tcPr>
            <w:tcW w:type="dxa" w:w="2000"/>
            <w:shd w:fill="FFFFFF" w:val="clear"/>
            <w:tcMar>
              <w:top w:type="dxa" w:w="60"/>
              <w:left w:type="dxa" w:w="80"/>
              <w:bottom w:type="dxa" w:w="60"/>
              <w:right w:type="dxa" w:w="80"/>
            </w:tcMar>
          </w:tcPr>
          <w:p>
            <w:r>
              <w:rPr>
                <w:sz w:val="19"/>
                <w:szCs w:val="19"/>
              </w:rPr>
              <w:t xml:space="preserve">set_default_value per Facility Type Catalog entry (Section 5.1) — NEVER left blank</w:t>
            </w:r>
          </w:p>
        </w:tc>
      </w:tr>
    </w:tbl>
    <w:p>
      <w:pPr>
        <w:spacing w:after="160"/>
        <w:ind w:left="360"/>
      </w:pPr>
      <w:r>
        <w:rPr>
          <w:i/>
          <w:iCs/>
          <w:color w:val="595959"/>
          <w:sz w:val="20"/>
          <w:szCs w:val="20"/>
        </w:rPr>
        <w:t xml:space="preserve">The business-facing side of this is a rule BUILDER — a condition picker and an action picker in the admin UI — not a scripting language only engineers can touch. The entire point is that a client's own Business Analyst can add “if Purpose Code = Real Estate, show the Physical Risk fields” without filing a development ticket. A rule format only developers can edit defeats the purpose of this section.</w:t>
      </w:r>
    </w:p>
    <w:p>
      <w:pPr>
        <w:pStyle w:val="Heading2"/>
        <w:keepNext/>
        <w:spacing w:after="140" w:before="320"/>
      </w:pPr>
      <w:r>
        <w:rPr>
          <w:b/>
          <w:bCs/>
          <w:color w:val="2E5496"/>
          <w:sz w:val="26"/>
          <w:szCs w:val="26"/>
        </w:rPr>
        <w:t xml:space="preserve">19.3 Workflow / Process Designer</w:t>
      </w:r>
    </w:p>
    <w:p>
      <w:pPr>
        <w:spacing w:after="160"/>
      </w:pPr>
      <w:r>
        <w:rPr>
          <w:sz w:val="21"/>
          <w:szCs w:val="21"/>
        </w:rPr>
        <w:t xml:space="preserve">Approval routing — the area where NBK's own SDD had the least-documented, least-stable design (an undefined ‘S’ stage, a routing table restructured between versions with no changelog explaining why) — is modeled as a configurable state machine, per tenant, per Request Type.</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200"/>
      </w:tblGrid>
      <w:tr>
        <w:trPr>
          <w:tblHeader/>
        </w:trPr>
        <w:tc>
          <w:tcPr>
            <w:tcW w:type="dxa" w:w="2800"/>
            <w:shd w:fill="1F3864" w:val="clear"/>
            <w:tcMar>
              <w:top w:type="dxa" w:w="60"/>
              <w:left w:type="dxa" w:w="80"/>
              <w:bottom w:type="dxa" w:w="60"/>
              <w:right w:type="dxa" w:w="80"/>
            </w:tcMar>
          </w:tcPr>
          <w:p>
            <w:r>
              <w:rPr>
                <w:b/>
                <w:bCs/>
                <w:color w:val="FFFFFF"/>
                <w:sz w:val="19"/>
                <w:szCs w:val="19"/>
              </w:rPr>
              <w:t xml:space="preserve">Attribute</w:t>
            </w:r>
          </w:p>
        </w:tc>
        <w:tc>
          <w:tcPr>
            <w:tcW w:type="dxa" w:w="2600"/>
            <w:shd w:fill="1F3864" w:val="clear"/>
            <w:tcMar>
              <w:top w:type="dxa" w:w="60"/>
              <w:left w:type="dxa" w:w="80"/>
              <w:bottom w:type="dxa" w:w="60"/>
              <w:right w:type="dxa" w:w="80"/>
            </w:tcMar>
          </w:tcPr>
          <w:p>
            <w:r>
              <w:rPr>
                <w:b/>
                <w:bCs/>
                <w:color w:val="FFFFFF"/>
                <w:sz w:val="19"/>
                <w:szCs w:val="19"/>
              </w:rPr>
              <w:t xml:space="preserve">Type</w:t>
            </w:r>
          </w:p>
        </w:tc>
        <w:tc>
          <w:tcPr>
            <w:tcW w:type="dxa" w:w="3200"/>
            <w:shd w:fill="1F3864" w:val="clear"/>
            <w:tcMar>
              <w:top w:type="dxa" w:w="60"/>
              <w:left w:type="dxa" w:w="80"/>
              <w:bottom w:type="dxa" w:w="60"/>
              <w:right w:type="dxa" w:w="80"/>
            </w:tcMar>
          </w:tcPr>
          <w:p>
            <w:r>
              <w:rPr>
                <w:b/>
                <w:bCs/>
                <w:color w:val="FFFFFF"/>
                <w:sz w:val="19"/>
                <w:szCs w:val="19"/>
              </w:rPr>
              <w:t xml:space="preserve">Notes</w:t>
            </w:r>
          </w:p>
        </w:tc>
      </w:tr>
      <w:tr>
        <w:tc>
          <w:tcPr>
            <w:tcW w:type="dxa" w:w="2800"/>
            <w:shd w:fill="FFFFFF" w:val="clear"/>
            <w:tcMar>
              <w:top w:type="dxa" w:w="60"/>
              <w:left w:type="dxa" w:w="80"/>
              <w:bottom w:type="dxa" w:w="60"/>
              <w:right w:type="dxa" w:w="80"/>
            </w:tcMar>
          </w:tcPr>
          <w:p>
            <w:r>
              <w:rPr>
                <w:sz w:val="19"/>
                <w:szCs w:val="19"/>
              </w:rPr>
              <w:t xml:space="preserve">workflow_definition_id</w:t>
            </w:r>
          </w:p>
        </w:tc>
        <w:tc>
          <w:tcPr>
            <w:tcW w:type="dxa" w:w="2600"/>
            <w:shd w:fill="FFFFFF" w:val="clear"/>
            <w:tcMar>
              <w:top w:type="dxa" w:w="60"/>
              <w:left w:type="dxa" w:w="80"/>
              <w:bottom w:type="dxa" w:w="60"/>
              <w:right w:type="dxa" w:w="80"/>
            </w:tcMar>
          </w:tcPr>
          <w:p>
            <w:r>
              <w:rPr>
                <w:sz w:val="19"/>
                <w:szCs w:val="19"/>
              </w:rPr>
              <w:t xml:space="preserve">UUID</w:t>
            </w:r>
          </w:p>
        </w:tc>
        <w:tc>
          <w:tcPr>
            <w:tcW w:type="dxa" w:w="3200"/>
            <w:shd w:fill="FFFFFF" w:val="clear"/>
            <w:tcMar>
              <w:top w:type="dxa" w:w="60"/>
              <w:left w:type="dxa" w:w="80"/>
              <w:bottom w:type="dxa" w:w="60"/>
              <w:right w:type="dxa" w:w="80"/>
            </w:tcMar>
          </w:tcPr>
          <w:p>
            <w:r>
              <w:rPr>
                <w:sz w:val="19"/>
                <w:szCs w:val="19"/>
              </w:rPr>
              <w:t xml:space="preserve">Primary key</w:t>
            </w:r>
          </w:p>
        </w:tc>
      </w:tr>
      <w:tr>
        <w:tc>
          <w:tcPr>
            <w:tcW w:type="dxa" w:w="2800"/>
            <w:shd w:fill="DCE6F1" w:val="clear"/>
            <w:tcMar>
              <w:top w:type="dxa" w:w="60"/>
              <w:left w:type="dxa" w:w="80"/>
              <w:bottom w:type="dxa" w:w="60"/>
              <w:right w:type="dxa" w:w="80"/>
            </w:tcMar>
          </w:tcPr>
          <w:p>
            <w:r>
              <w:rPr>
                <w:sz w:val="19"/>
                <w:szCs w:val="19"/>
              </w:rPr>
              <w:t xml:space="preserve">tenant_id</w:t>
            </w:r>
          </w:p>
        </w:tc>
        <w:tc>
          <w:tcPr>
            <w:tcW w:type="dxa" w:w="2600"/>
            <w:shd w:fill="DCE6F1" w:val="clear"/>
            <w:tcMar>
              <w:top w:type="dxa" w:w="60"/>
              <w:left w:type="dxa" w:w="80"/>
              <w:bottom w:type="dxa" w:w="60"/>
              <w:right w:type="dxa" w:w="80"/>
            </w:tcMar>
          </w:tcPr>
          <w:p>
            <w:r>
              <w:rPr>
                <w:sz w:val="19"/>
                <w:szCs w:val="19"/>
              </w:rPr>
              <w:t xml:space="preserve">UUID</w:t>
            </w:r>
          </w:p>
        </w:tc>
        <w:tc>
          <w:tcPr>
            <w:tcW w:type="dxa" w:w="3200"/>
            <w:shd w:fill="DCE6F1" w:val="clear"/>
            <w:tcMar>
              <w:top w:type="dxa" w:w="60"/>
              <w:left w:type="dxa" w:w="80"/>
              <w:bottom w:type="dxa" w:w="60"/>
              <w:right w:type="dxa" w:w="80"/>
            </w:tcMar>
          </w:tcPr>
          <w:p>
            <w:r>
              <w:rPr>
                <w:sz w:val="19"/>
                <w:szCs w:val="19"/>
              </w:rPr>
              <w:t xml:space="preserve">Which client this workflow belongs to</w:t>
            </w:r>
          </w:p>
        </w:tc>
      </w:tr>
      <w:tr>
        <w:tc>
          <w:tcPr>
            <w:tcW w:type="dxa" w:w="2800"/>
            <w:shd w:fill="FFFFFF" w:val="clear"/>
            <w:tcMar>
              <w:top w:type="dxa" w:w="60"/>
              <w:left w:type="dxa" w:w="80"/>
              <w:bottom w:type="dxa" w:w="60"/>
              <w:right w:type="dxa" w:w="80"/>
            </w:tcMar>
          </w:tcPr>
          <w:p>
            <w:r>
              <w:rPr>
                <w:sz w:val="19"/>
                <w:szCs w:val="19"/>
              </w:rPr>
              <w:t xml:space="preserve">request_type</w:t>
            </w:r>
          </w:p>
        </w:tc>
        <w:tc>
          <w:tcPr>
            <w:tcW w:type="dxa" w:w="2600"/>
            <w:shd w:fill="FFFFFF" w:val="clear"/>
            <w:tcMar>
              <w:top w:type="dxa" w:w="60"/>
              <w:left w:type="dxa" w:w="80"/>
              <w:bottom w:type="dxa" w:w="60"/>
              <w:right w:type="dxa" w:w="80"/>
            </w:tcMar>
          </w:tcPr>
          <w:p>
            <w:r>
              <w:rPr>
                <w:sz w:val="19"/>
                <w:szCs w:val="19"/>
              </w:rPr>
              <w:t xml:space="preserve">Reference</w:t>
            </w:r>
          </w:p>
        </w:tc>
        <w:tc>
          <w:tcPr>
            <w:tcW w:type="dxa" w:w="3200"/>
            <w:shd w:fill="FFFFFF" w:val="clear"/>
            <w:tcMar>
              <w:top w:type="dxa" w:w="60"/>
              <w:left w:type="dxa" w:w="80"/>
              <w:bottom w:type="dxa" w:w="60"/>
              <w:right w:type="dxa" w:w="80"/>
            </w:tcMar>
          </w:tcPr>
          <w:p>
            <w:r>
              <w:rPr>
                <w:sz w:val="19"/>
                <w:szCs w:val="19"/>
              </w:rPr>
              <w:t xml:space="preserve">Which Request Type Catalog entry (Section 3.2) this applies to</w:t>
            </w:r>
          </w:p>
        </w:tc>
      </w:tr>
      <w:tr>
        <w:tc>
          <w:tcPr>
            <w:tcW w:type="dxa" w:w="2800"/>
            <w:shd w:fill="DCE6F1" w:val="clear"/>
            <w:tcMar>
              <w:top w:type="dxa" w:w="60"/>
              <w:left w:type="dxa" w:w="80"/>
              <w:bottom w:type="dxa" w:w="60"/>
              <w:right w:type="dxa" w:w="80"/>
            </w:tcMar>
          </w:tcPr>
          <w:p>
            <w:r>
              <w:rPr>
                <w:sz w:val="19"/>
                <w:szCs w:val="19"/>
              </w:rPr>
              <w:t xml:space="preserve">stage_sequence</w:t>
            </w:r>
          </w:p>
        </w:tc>
        <w:tc>
          <w:tcPr>
            <w:tcW w:type="dxa" w:w="2600"/>
            <w:shd w:fill="DCE6F1" w:val="clear"/>
            <w:tcMar>
              <w:top w:type="dxa" w:w="60"/>
              <w:left w:type="dxa" w:w="80"/>
              <w:bottom w:type="dxa" w:w="60"/>
              <w:right w:type="dxa" w:w="80"/>
            </w:tcMar>
          </w:tcPr>
          <w:p>
            <w:r>
              <w:rPr>
                <w:sz w:val="19"/>
                <w:szCs w:val="19"/>
              </w:rPr>
              <w:t xml:space="preserve">Ordered array of stage_id</w:t>
            </w:r>
          </w:p>
        </w:tc>
        <w:tc>
          <w:tcPr>
            <w:tcW w:type="dxa" w:w="3200"/>
            <w:shd w:fill="DCE6F1" w:val="clear"/>
            <w:tcMar>
              <w:top w:type="dxa" w:w="60"/>
              <w:left w:type="dxa" w:w="80"/>
              <w:bottom w:type="dxa" w:w="60"/>
              <w:right w:type="dxa" w:w="80"/>
            </w:tcMar>
          </w:tcPr>
          <w:p>
            <w:r>
              <w:rPr>
                <w:sz w:val="19"/>
                <w:szCs w:val="19"/>
              </w:rPr>
              <w:t xml:space="preserve">The path a request follows, built by dragging named stages into order</w:t>
            </w:r>
          </w:p>
        </w:tc>
      </w:tr>
      <w:tr>
        <w:tc>
          <w:tcPr>
            <w:tcW w:type="dxa" w:w="2800"/>
            <w:shd w:fill="FFFFFF" w:val="clear"/>
            <w:tcMar>
              <w:top w:type="dxa" w:w="60"/>
              <w:left w:type="dxa" w:w="80"/>
              <w:bottom w:type="dxa" w:w="60"/>
              <w:right w:type="dxa" w:w="80"/>
            </w:tcMar>
          </w:tcPr>
          <w:p>
            <w:r>
              <w:rPr>
                <w:sz w:val="19"/>
                <w:szCs w:val="19"/>
              </w:rPr>
              <w:t xml:space="preserve">flow_type</w:t>
            </w:r>
          </w:p>
        </w:tc>
        <w:tc>
          <w:tcPr>
            <w:tcW w:type="dxa" w:w="2600"/>
            <w:shd w:fill="FFFFFF" w:val="clear"/>
            <w:tcMar>
              <w:top w:type="dxa" w:w="60"/>
              <w:left w:type="dxa" w:w="80"/>
              <w:bottom w:type="dxa" w:w="60"/>
              <w:right w:type="dxa" w:w="80"/>
            </w:tcMar>
          </w:tcPr>
          <w:p>
            <w:r>
              <w:rPr>
                <w:sz w:val="19"/>
                <w:szCs w:val="19"/>
              </w:rPr>
              <w:t xml:space="preserve">Enum</w:t>
            </w:r>
          </w:p>
        </w:tc>
        <w:tc>
          <w:tcPr>
            <w:tcW w:type="dxa" w:w="3200"/>
            <w:shd w:fill="FFFFFF" w:val="clear"/>
            <w:tcMar>
              <w:top w:type="dxa" w:w="60"/>
              <w:left w:type="dxa" w:w="80"/>
              <w:bottom w:type="dxa" w:w="60"/>
              <w:right w:type="dxa" w:w="80"/>
            </w:tcMar>
          </w:tcPr>
          <w:p>
            <w:r>
              <w:rPr>
                <w:sz w:val="19"/>
                <w:szCs w:val="19"/>
              </w:rPr>
              <w:t xml:space="preserve">Main / Child, per Section 3.1</w:t>
            </w:r>
          </w:p>
        </w:tc>
      </w:tr>
      <w:tr>
        <w:tc>
          <w:tcPr>
            <w:tcW w:type="dxa" w:w="2800"/>
            <w:shd w:fill="DCE6F1" w:val="clear"/>
            <w:tcMar>
              <w:top w:type="dxa" w:w="60"/>
              <w:left w:type="dxa" w:w="80"/>
              <w:bottom w:type="dxa" w:w="60"/>
              <w:right w:type="dxa" w:w="80"/>
            </w:tcMar>
          </w:tcPr>
          <w:p>
            <w:r>
              <w:rPr>
                <w:sz w:val="19"/>
                <w:szCs w:val="19"/>
              </w:rPr>
              <w:t xml:space="preserve">version</w:t>
            </w:r>
          </w:p>
        </w:tc>
        <w:tc>
          <w:tcPr>
            <w:tcW w:type="dxa" w:w="2600"/>
            <w:shd w:fill="DCE6F1" w:val="clear"/>
            <w:tcMar>
              <w:top w:type="dxa" w:w="60"/>
              <w:left w:type="dxa" w:w="80"/>
              <w:bottom w:type="dxa" w:w="60"/>
              <w:right w:type="dxa" w:w="80"/>
            </w:tcMar>
          </w:tcPr>
          <w:p>
            <w:r>
              <w:rPr>
                <w:sz w:val="19"/>
                <w:szCs w:val="19"/>
              </w:rPr>
              <w:t xml:space="preserve">Integer</w:t>
            </w:r>
          </w:p>
        </w:tc>
        <w:tc>
          <w:tcPr>
            <w:tcW w:type="dxa" w:w="3200"/>
            <w:shd w:fill="DCE6F1" w:val="clear"/>
            <w:tcMar>
              <w:top w:type="dxa" w:w="60"/>
              <w:left w:type="dxa" w:w="80"/>
              <w:bottom w:type="dxa" w:w="60"/>
              <w:right w:type="dxa" w:w="80"/>
            </w:tcMar>
          </w:tcPr>
          <w:p>
            <w:r>
              <w:rPr>
                <w:sz w:val="19"/>
                <w:szCs w:val="19"/>
              </w:rPr>
              <w:t xml:space="preserve">Every change versioned; a worked example in this document must always match the CURRENT version — see Appendix C lesson</w:t>
            </w:r>
          </w:p>
        </w:tc>
      </w:tr>
    </w:tbl>
    <w:p>
      <w:pPr>
        <w:spacing w:after="160"/>
      </w:pPr>
      <w:r>
        <w:rPr>
          <w:sz w:val="21"/>
          <w:szCs w:val="21"/>
        </w:rPr>
        <w:t xml:space="preserve">Each stage referenced in a sequence is itself a named, reusable configuration object: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000"/>
        <w:gridCol w:w="2400"/>
      </w:tblGrid>
      <w:tr>
        <w:trPr>
          <w:tblHeader/>
        </w:trPr>
        <w:tc>
          <w:tcPr>
            <w:tcW w:type="dxa" w:w="2600"/>
            <w:shd w:fill="1F3864" w:val="clear"/>
            <w:tcMar>
              <w:top w:type="dxa" w:w="60"/>
              <w:left w:type="dxa" w:w="80"/>
              <w:bottom w:type="dxa" w:w="60"/>
              <w:right w:type="dxa" w:w="80"/>
            </w:tcMar>
          </w:tcPr>
          <w:p>
            <w:r>
              <w:rPr>
                <w:b/>
                <w:bCs/>
                <w:color w:val="FFFFFF"/>
                <w:sz w:val="19"/>
                <w:szCs w:val="19"/>
              </w:rPr>
              <w:t xml:space="preserve">Attribute</w:t>
            </w:r>
          </w:p>
        </w:tc>
        <w:tc>
          <w:tcPr>
            <w:tcW w:type="dxa" w:w="2600"/>
            <w:shd w:fill="1F3864" w:val="clear"/>
            <w:tcMar>
              <w:top w:type="dxa" w:w="60"/>
              <w:left w:type="dxa" w:w="80"/>
              <w:bottom w:type="dxa" w:w="60"/>
              <w:right w:type="dxa" w:w="80"/>
            </w:tcMar>
          </w:tcPr>
          <w:p>
            <w:r>
              <w:rPr>
                <w:b/>
                <w:bCs/>
                <w:color w:val="FFFFFF"/>
                <w:sz w:val="19"/>
                <w:szCs w:val="19"/>
              </w:rPr>
              <w:t xml:space="preserve">Type</w:t>
            </w:r>
          </w:p>
        </w:tc>
        <w:tc>
          <w:tcPr>
            <w:tcW w:type="dxa" w:w="2000"/>
            <w:shd w:fill="1F3864" w:val="clear"/>
            <w:tcMar>
              <w:top w:type="dxa" w:w="60"/>
              <w:left w:type="dxa" w:w="80"/>
              <w:bottom w:type="dxa" w:w="60"/>
              <w:right w:type="dxa" w:w="80"/>
            </w:tcMar>
          </w:tcPr>
          <w:p>
            <w:r>
              <w:rPr>
                <w:b/>
                <w:bCs/>
                <w:color w:val="FFFFFF"/>
                <w:sz w:val="19"/>
                <w:szCs w:val="19"/>
              </w:rPr>
              <w:t xml:space="preserve">Notes</w:t>
            </w:r>
          </w:p>
        </w:tc>
      </w:tr>
      <w:tr>
        <w:tc>
          <w:tcPr>
            <w:tcW w:type="dxa" w:w="2600"/>
            <w:shd w:fill="FFFFFF" w:val="clear"/>
            <w:tcMar>
              <w:top w:type="dxa" w:w="60"/>
              <w:left w:type="dxa" w:w="80"/>
              <w:bottom w:type="dxa" w:w="60"/>
              <w:right w:type="dxa" w:w="80"/>
            </w:tcMar>
          </w:tcPr>
          <w:p>
            <w:r>
              <w:rPr>
                <w:sz w:val="19"/>
                <w:szCs w:val="19"/>
              </w:rPr>
              <w:t xml:space="preserve">stage_id</w:t>
            </w:r>
          </w:p>
        </w:tc>
        <w:tc>
          <w:tcPr>
            <w:tcW w:type="dxa" w:w="2600"/>
            <w:shd w:fill="FFFFFF" w:val="clear"/>
            <w:tcMar>
              <w:top w:type="dxa" w:w="60"/>
              <w:left w:type="dxa" w:w="80"/>
              <w:bottom w:type="dxa" w:w="60"/>
              <w:right w:type="dxa" w:w="80"/>
            </w:tcMar>
          </w:tcPr>
          <w:p>
            <w:r>
              <w:rPr>
                <w:sz w:val="19"/>
                <w:szCs w:val="19"/>
              </w:rPr>
              <w:t xml:space="preserve">UUID</w:t>
            </w:r>
          </w:p>
        </w:tc>
        <w:tc>
          <w:tcPr>
            <w:tcW w:type="dxa" w:w="2000"/>
            <w:shd w:fill="FFFFFF" w:val="clear"/>
            <w:tcMar>
              <w:top w:type="dxa" w:w="60"/>
              <w:left w:type="dxa" w:w="80"/>
              <w:bottom w:type="dxa" w:w="60"/>
              <w:right w:type="dxa" w:w="80"/>
            </w:tcMar>
          </w:tcPr>
          <w:p>
            <w:r>
              <w:rPr>
                <w:sz w:val="19"/>
                <w:szCs w:val="19"/>
              </w:rPr>
              <w:t xml:space="preserve">Primary key</w:t>
            </w:r>
          </w:p>
        </w:tc>
      </w:tr>
      <w:tr>
        <w:tc>
          <w:tcPr>
            <w:tcW w:type="dxa" w:w="2600"/>
            <w:shd w:fill="DCE6F1" w:val="clear"/>
            <w:tcMar>
              <w:top w:type="dxa" w:w="60"/>
              <w:left w:type="dxa" w:w="80"/>
              <w:bottom w:type="dxa" w:w="60"/>
              <w:right w:type="dxa" w:w="80"/>
            </w:tcMar>
          </w:tcPr>
          <w:p>
            <w:r>
              <w:rPr>
                <w:sz w:val="19"/>
                <w:szCs w:val="19"/>
              </w:rPr>
              <w:t xml:space="preserve">stage_name</w:t>
            </w:r>
          </w:p>
        </w:tc>
        <w:tc>
          <w:tcPr>
            <w:tcW w:type="dxa" w:w="2600"/>
            <w:shd w:fill="DCE6F1" w:val="clear"/>
            <w:tcMar>
              <w:top w:type="dxa" w:w="60"/>
              <w:left w:type="dxa" w:w="80"/>
              <w:bottom w:type="dxa" w:w="60"/>
              <w:right w:type="dxa" w:w="80"/>
            </w:tcMar>
          </w:tcPr>
          <w:p>
            <w:r>
              <w:rPr>
                <w:sz w:val="19"/>
                <w:szCs w:val="19"/>
              </w:rPr>
              <w:t xml:space="preserve">String</w:t>
            </w:r>
          </w:p>
        </w:tc>
        <w:tc>
          <w:tcPr>
            <w:tcW w:type="dxa" w:w="2000"/>
            <w:shd w:fill="DCE6F1" w:val="clear"/>
            <w:tcMar>
              <w:top w:type="dxa" w:w="60"/>
              <w:left w:type="dxa" w:w="80"/>
              <w:bottom w:type="dxa" w:w="60"/>
              <w:right w:type="dxa" w:w="80"/>
            </w:tcMar>
          </w:tcPr>
          <w:p>
            <w:r>
              <w:rPr>
                <w:sz w:val="19"/>
                <w:szCs w:val="19"/>
              </w:rPr>
              <w:t xml:space="preserve">MUST be a full name, never a bare code — every stage appears in Appendix A Glossary automatically</w:t>
            </w:r>
          </w:p>
        </w:tc>
      </w:tr>
      <w:tr>
        <w:tc>
          <w:tcPr>
            <w:tcW w:type="dxa" w:w="2600"/>
            <w:shd w:fill="FFFFFF" w:val="clear"/>
            <w:tcMar>
              <w:top w:type="dxa" w:w="60"/>
              <w:left w:type="dxa" w:w="80"/>
              <w:bottom w:type="dxa" w:w="60"/>
              <w:right w:type="dxa" w:w="80"/>
            </w:tcMar>
          </w:tcPr>
          <w:p>
            <w:r>
              <w:rPr>
                <w:sz w:val="19"/>
                <w:szCs w:val="19"/>
              </w:rPr>
              <w:t xml:space="preserve">owning_role</w:t>
            </w:r>
          </w:p>
        </w:tc>
        <w:tc>
          <w:tcPr>
            <w:tcW w:type="dxa" w:w="2600"/>
            <w:shd w:fill="FFFFFF" w:val="clear"/>
            <w:tcMar>
              <w:top w:type="dxa" w:w="60"/>
              <w:left w:type="dxa" w:w="80"/>
              <w:bottom w:type="dxa" w:w="60"/>
              <w:right w:type="dxa" w:w="80"/>
            </w:tcMar>
          </w:tcPr>
          <w:p>
            <w:r>
              <w:rPr>
                <w:sz w:val="19"/>
                <w:szCs w:val="19"/>
              </w:rPr>
              <w:t xml:space="preserve">Reference</w:t>
            </w:r>
          </w:p>
        </w:tc>
        <w:tc>
          <w:tcPr>
            <w:tcW w:type="dxa" w:w="2000"/>
            <w:shd w:fill="FFFFFF" w:val="clear"/>
            <w:tcMar>
              <w:top w:type="dxa" w:w="60"/>
              <w:left w:type="dxa" w:w="80"/>
              <w:bottom w:type="dxa" w:w="60"/>
              <w:right w:type="dxa" w:w="80"/>
            </w:tcMar>
          </w:tcPr>
          <w:p>
            <w:r>
              <w:rPr>
                <w:sz w:val="19"/>
                <w:szCs w:val="19"/>
              </w:rPr>
              <w:t xml:space="preserve">Which role (Section 2.2) performs this stage</w:t>
            </w:r>
          </w:p>
        </w:tc>
      </w:tr>
      <w:tr>
        <w:tc>
          <w:tcPr>
            <w:tcW w:type="dxa" w:w="2600"/>
            <w:shd w:fill="DCE6F1" w:val="clear"/>
            <w:tcMar>
              <w:top w:type="dxa" w:w="60"/>
              <w:left w:type="dxa" w:w="80"/>
              <w:bottom w:type="dxa" w:w="60"/>
              <w:right w:type="dxa" w:w="80"/>
            </w:tcMar>
          </w:tcPr>
          <w:p>
            <w:r>
              <w:rPr>
                <w:sz w:val="19"/>
                <w:szCs w:val="19"/>
              </w:rPr>
              <w:t xml:space="preserve">sla_hours</w:t>
            </w:r>
          </w:p>
        </w:tc>
        <w:tc>
          <w:tcPr>
            <w:tcW w:type="dxa" w:w="2600"/>
            <w:shd w:fill="DCE6F1" w:val="clear"/>
            <w:tcMar>
              <w:top w:type="dxa" w:w="60"/>
              <w:left w:type="dxa" w:w="80"/>
              <w:bottom w:type="dxa" w:w="60"/>
              <w:right w:type="dxa" w:w="80"/>
            </w:tcMar>
          </w:tcPr>
          <w:p>
            <w:r>
              <w:rPr>
                <w:sz w:val="19"/>
                <w:szCs w:val="19"/>
              </w:rPr>
              <w:t xml:space="preserve">Integer</w:t>
            </w:r>
          </w:p>
        </w:tc>
        <w:tc>
          <w:tcPr>
            <w:tcW w:type="dxa" w:w="2000"/>
            <w:shd w:fill="DCE6F1" w:val="clear"/>
            <w:tcMar>
              <w:top w:type="dxa" w:w="60"/>
              <w:left w:type="dxa" w:w="80"/>
              <w:bottom w:type="dxa" w:w="60"/>
              <w:right w:type="dxa" w:w="80"/>
            </w:tcMar>
          </w:tcPr>
          <w:p>
            <w:r>
              <w:rPr>
                <w:sz w:val="19"/>
                <w:szCs w:val="19"/>
              </w:rPr>
              <w:t xml:space="preserve">Breach escalation per Section 12</w:t>
            </w:r>
          </w:p>
        </w:tc>
      </w:tr>
    </w:tbl>
    <w:p>
      <w:pPr>
        <w:spacing w:after="160"/>
        <w:ind w:left="360"/>
      </w:pPr>
      <w:r>
        <w:rPr>
          <w:i/>
          <w:iCs/>
          <w:color w:val="595959"/>
          <w:sz w:val="20"/>
          <w:szCs w:val="20"/>
        </w:rPr>
        <w:t xml:space="preserve">Worked example — NBK's own ‘New Facilities’ path, properly named this time: Documentation Review → Legal Review → Signature/Authorization → Legal Review → Documentation Review → Quality Assurance → Credit Control Unit Review → Quality Assurance → Processing/Booking. Every stage has an owning_role and an sla_hours value; nothing is a bare letter code, and this sequence is versioned so the next change to it is a tracked diff, not a document someone has to manually re-read to catch.</w:t>
      </w:r>
    </w:p>
    <w:p>
      <w:pPr>
        <w:pStyle w:val="Heading2"/>
        <w:keepNext/>
        <w:spacing w:after="140" w:before="320"/>
      </w:pPr>
      <w:r>
        <w:rPr>
          <w:b/>
          <w:bCs/>
          <w:color w:val="2E5496"/>
          <w:sz w:val="26"/>
          <w:szCs w:val="26"/>
        </w:rPr>
        <w:t xml:space="preserve">19.4 Tenant Configuration Layer &amp; Governance</w:t>
      </w:r>
    </w:p>
    <w:p>
      <w:pPr>
        <w:pStyle w:val="ListParagraph"/>
        <w:numPr>
          <w:ilvl w:val="0"/>
          <w:numId w:val="2"/>
        </w:numPr>
        <w:spacing w:after="80"/>
      </w:pPr>
      <w:r>
        <w:rPr>
          <w:sz w:val="21"/>
          <w:szCs w:val="21"/>
        </w:rPr>
        <w:t xml:space="preserve">Configuration Admin role, distinct from regular approval roles — not every user who can approve a loan should be able to redefine what Mandatory means for a field.</w:t>
      </w:r>
    </w:p>
    <w:p>
      <w:pPr>
        <w:pStyle w:val="ListParagraph"/>
        <w:numPr>
          <w:ilvl w:val="0"/>
          <w:numId w:val="2"/>
        </w:numPr>
        <w:spacing w:after="80"/>
      </w:pPr>
      <w:r>
        <w:rPr>
          <w:sz w:val="21"/>
          <w:szCs w:val="21"/>
        </w:rPr>
        <w:t xml:space="preserve">Sandbox → Production promotion: configuration changes (new fields, rule changes, workflow edits) are built and tested in a staging tenant before going live, the same pattern Salesforce uses for custom metadata deployment. This specific practice would have caught NBK's stale worked example (Appendix C) before it shipped in a Final SDD.</w:t>
      </w:r>
    </w:p>
    <w:p>
      <w:pPr>
        <w:pStyle w:val="ListParagraph"/>
        <w:numPr>
          <w:ilvl w:val="0"/>
          <w:numId w:val="2"/>
        </w:numPr>
        <w:spacing w:after="80"/>
      </w:pPr>
      <w:r>
        <w:rPr>
          <w:sz w:val="21"/>
          <w:szCs w:val="21"/>
        </w:rPr>
        <w:t xml:space="preserve">Full versioning and audit trail on every field, rule, and workflow change — attributable to a user and a timestamp, so a future reviewer never has to diff two Word documents line-by-line to reconstruct what changed and why (which is literally what this engagement had to do between SDD V1.15 and V1.16).</w:t>
      </w:r>
    </w:p>
    <w:p>
      <w:pPr>
        <w:pStyle w:val="ListParagraph"/>
        <w:numPr>
          <w:ilvl w:val="0"/>
          <w:numId w:val="2"/>
        </w:numPr>
        <w:spacing w:after="80"/>
      </w:pPr>
      <w:r>
        <w:rPr>
          <w:sz w:val="21"/>
          <w:szCs w:val="21"/>
        </w:rPr>
        <w:t xml:space="preserve">Strict tenant isolation — every table in Sections 19.1–19.3 carries a tenant_id; a core-library field or rule (tenant_id = NULL) is visible to all tenants, a tenant-specific one is visible only to its own tenant.</w:t>
      </w:r>
    </w:p>
    <w:p>
      <w:pPr>
        <w:pStyle w:val="Heading2"/>
        <w:keepNext/>
        <w:spacing w:after="140" w:before="320"/>
      </w:pPr>
      <w:r>
        <w:rPr>
          <w:b/>
          <w:bCs/>
          <w:color w:val="2E5496"/>
          <w:sz w:val="26"/>
          <w:szCs w:val="26"/>
        </w:rPr>
        <w:t xml:space="preserve">19.5 Worked Example: Onboarding XYZ Bank as Tenant #1</w:t>
      </w:r>
    </w:p>
    <w:p>
      <w:pPr>
        <w:spacing w:after="160"/>
      </w:pPr>
      <w:r>
        <w:rPr>
          <w:sz w:val="21"/>
          <w:szCs w:val="21"/>
        </w:rPr>
        <w:t xml:space="preserve">Creditum is built and tested as a product first, against the core library only. It is then configured — never modified — for each institution. Two fictional reference tenants are used to configure and test the product, with deliberately different settings so that nothing institution-specific can hide in the core: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00"/>
      </w:tblGrid>
      <w:tr>
        <w:trPr>
          <w:tblHeader/>
        </w:trPr>
        <w:tc>
          <w:tcPr>
            <w:tcW w:type="dxa" w:w="2000"/>
            <w:shd w:fill="1F3864" w:val="clear"/>
            <w:tcMar>
              <w:top w:type="dxa" w:w="60"/>
              <w:left w:type="dxa" w:w="80"/>
              <w:bottom w:type="dxa" w:w="60"/>
              <w:right w:type="dxa" w:w="80"/>
            </w:tcMar>
          </w:tcPr>
          <w:p>
            <w:r>
              <w:rPr>
                <w:b/>
                <w:bCs/>
                <w:color w:val="FFFFFF"/>
                <w:sz w:val="19"/>
                <w:szCs w:val="19"/>
              </w:rPr>
              <w:t xml:space="preserve">Reference Tenant</w:t>
            </w:r>
          </w:p>
        </w:tc>
        <w:tc>
          <w:tcPr>
            <w:tcW w:type="dxa" w:w="3600"/>
            <w:shd w:fill="1F3864" w:val="clear"/>
            <w:tcMar>
              <w:top w:type="dxa" w:w="60"/>
              <w:left w:type="dxa" w:w="80"/>
              <w:bottom w:type="dxa" w:w="60"/>
              <w:right w:type="dxa" w:w="80"/>
            </w:tcMar>
          </w:tcPr>
          <w:p>
            <w:r>
              <w:rPr>
                <w:b/>
                <w:bCs/>
                <w:color w:val="FFFFFF"/>
                <w:sz w:val="19"/>
                <w:szCs w:val="19"/>
              </w:rPr>
              <w:t xml:space="preserve">Profile</w:t>
            </w:r>
          </w:p>
        </w:tc>
        <w:tc>
          <w:tcPr>
            <w:tcW w:type="dxa" w:w="3700"/>
            <w:shd w:fill="1F3864" w:val="clear"/>
            <w:tcMar>
              <w:top w:type="dxa" w:w="60"/>
              <w:left w:type="dxa" w:w="80"/>
              <w:bottom w:type="dxa" w:w="60"/>
              <w:right w:type="dxa" w:w="80"/>
            </w:tcMar>
          </w:tcPr>
          <w:p>
            <w:r>
              <w:rPr>
                <w:b/>
                <w:bCs/>
                <w:color w:val="FFFFFF"/>
                <w:sz w:val="19"/>
                <w:szCs w:val="19"/>
              </w:rPr>
              <w:t xml:space="preserve">Configuration Character</w:t>
            </w:r>
          </w:p>
        </w:tc>
      </w:tr>
      <w:tr>
        <w:tc>
          <w:tcPr>
            <w:tcW w:type="dxa" w:w="2000"/>
            <w:shd w:fill="FFFFFF" w:val="clear"/>
            <w:tcMar>
              <w:top w:type="dxa" w:w="60"/>
              <w:left w:type="dxa" w:w="80"/>
              <w:bottom w:type="dxa" w:w="60"/>
              <w:right w:type="dxa" w:w="80"/>
            </w:tcMar>
          </w:tcPr>
          <w:p>
            <w:r>
              <w:rPr>
                <w:sz w:val="19"/>
                <w:szCs w:val="19"/>
              </w:rPr>
              <w:t xml:space="preserve">XYZ Bank (Tenant #1)</w:t>
            </w:r>
          </w:p>
        </w:tc>
        <w:tc>
          <w:tcPr>
            <w:tcW w:type="dxa" w:w="3600"/>
            <w:shd w:fill="FFFFFF" w:val="clear"/>
            <w:tcMar>
              <w:top w:type="dxa" w:w="60"/>
              <w:left w:type="dxa" w:w="80"/>
              <w:bottom w:type="dxa" w:w="60"/>
              <w:right w:type="dxa" w:w="80"/>
            </w:tcMar>
          </w:tcPr>
          <w:p>
            <w:r>
              <w:rPr>
                <w:sz w:val="19"/>
                <w:szCs w:val="19"/>
              </w:rPr>
              <w:t xml:space="preserve">Commercial bank, GCC-style operating environment — the primary reference customer</w:t>
            </w:r>
          </w:p>
        </w:tc>
        <w:tc>
          <w:tcPr>
            <w:tcW w:type="dxa" w:w="3700"/>
            <w:shd w:fill="FFFFFF" w:val="clear"/>
            <w:tcMar>
              <w:top w:type="dxa" w:w="60"/>
              <w:left w:type="dxa" w:w="80"/>
              <w:bottom w:type="dxa" w:w="60"/>
              <w:right w:type="dxa" w:w="80"/>
            </w:tcMar>
          </w:tcPr>
          <w:p>
            <w:r>
              <w:rPr>
                <w:sz w:val="19"/>
                <w:szCs w:val="19"/>
              </w:rPr>
              <w:t xml:space="preserve">Its own base currency and locale, central-bank-style single obligor and large-exposure limits, multi-tier credit committee hierarchy, full corporate facility catalog</w:t>
            </w:r>
          </w:p>
        </w:tc>
      </w:tr>
      <w:tr>
        <w:tc>
          <w:tcPr>
            <w:tcW w:type="dxa" w:w="2000"/>
            <w:shd w:fill="DCE6F1" w:val="clear"/>
            <w:tcMar>
              <w:top w:type="dxa" w:w="60"/>
              <w:left w:type="dxa" w:w="80"/>
              <w:bottom w:type="dxa" w:w="60"/>
              <w:right w:type="dxa" w:w="80"/>
            </w:tcMar>
          </w:tcPr>
          <w:p>
            <w:r>
              <w:rPr>
                <w:sz w:val="19"/>
                <w:szCs w:val="19"/>
              </w:rPr>
              <w:t xml:space="preserve">ABC Finance (Tenant #2)</w:t>
            </w:r>
          </w:p>
        </w:tc>
        <w:tc>
          <w:tcPr>
            <w:tcW w:type="dxa" w:w="3600"/>
            <w:shd w:fill="DCE6F1" w:val="clear"/>
            <w:tcMar>
              <w:top w:type="dxa" w:w="60"/>
              <w:left w:type="dxa" w:w="80"/>
              <w:bottom w:type="dxa" w:w="60"/>
              <w:right w:type="dxa" w:w="80"/>
            </w:tcMar>
          </w:tcPr>
          <w:p>
            <w:r>
              <w:rPr>
                <w:sz w:val="19"/>
                <w:szCs w:val="19"/>
              </w:rPr>
              <w:t xml:space="preserve">Non-banking financial company (NBFC), Indian operating environment</w:t>
            </w:r>
          </w:p>
        </w:tc>
        <w:tc>
          <w:tcPr>
            <w:tcW w:type="dxa" w:w="3700"/>
            <w:shd w:fill="DCE6F1" w:val="clear"/>
            <w:tcMar>
              <w:top w:type="dxa" w:w="60"/>
              <w:left w:type="dxa" w:w="80"/>
              <w:bottom w:type="dxa" w:w="60"/>
              <w:right w:type="dxa" w:w="80"/>
            </w:tcMar>
          </w:tcPr>
          <w:p>
            <w:r>
              <w:rPr>
                <w:sz w:val="19"/>
                <w:szCs w:val="19"/>
              </w:rPr>
              <w:t xml:space="preserve">A different base currency and locale, RBI-style exposure norms, a flatter delegated authority structure, an SME-focused facility catalog</w:t>
            </w:r>
          </w:p>
        </w:tc>
      </w:tr>
    </w:tbl>
    <w:p>
      <w:pPr>
        <w:spacing w:after="120"/>
      </w:pPr>
    </w:p>
    <w:p>
      <w:pPr>
        <w:spacing w:after="160"/>
      </w:pPr>
      <w:r>
        <w:rPr>
          <w:sz w:val="21"/>
          <w:szCs w:val="21"/>
        </w:rPr>
        <w:t xml:space="preserve">Onboarding XYZ Bank concretely looks like:</w:t>
      </w:r>
    </w:p>
    <w:p>
      <w:pPr>
        <w:pStyle w:val="ListParagraph"/>
        <w:numPr>
          <w:ilvl w:val="0"/>
          <w:numId w:val="2"/>
        </w:numPr>
        <w:spacing w:after="80"/>
      </w:pPr>
      <w:r>
        <w:rPr>
          <w:sz w:val="21"/>
          <w:szCs w:val="21"/>
        </w:rPr>
        <w:t xml:space="preserve">Load the Creditum Core Field Library into the shared field registry: the 712 industry-standard fields as-is and the 24 rename-only fields under their generic names (for example, Credit Request Number). The 31 jurisdiction/vendor-specific fields from the reference set are never carried as named — each is replaced by its generic equivalent (customer identifier, market/peer exposure adapter, configurable currency) or dropped.</w:t>
      </w:r>
    </w:p>
    <w:p>
      <w:pPr>
        <w:pStyle w:val="ListParagraph"/>
        <w:numPr>
          <w:ilvl w:val="0"/>
          <w:numId w:val="2"/>
        </w:numPr>
        <w:spacing w:after="80"/>
      </w:pPr>
      <w:r>
        <w:rPr>
          <w:sz w:val="21"/>
          <w:szCs w:val="21"/>
        </w:rPr>
        <w:t xml:space="preserve">Populate Section 18’s Configuration Requirements Register with XYZ Bank’s values — committee hierarchy, exposure thresholds, currency and locale, and a Facility Type Catalog with Fixed/Revolving defined for every entry, including non-cash products.</w:t>
      </w:r>
    </w:p>
    <w:p>
      <w:pPr>
        <w:pStyle w:val="ListParagraph"/>
        <w:numPr>
          <w:ilvl w:val="0"/>
          <w:numId w:val="2"/>
        </w:numPr>
        <w:spacing w:after="80"/>
      </w:pPr>
      <w:r>
        <w:rPr>
          <w:sz w:val="21"/>
          <w:szCs w:val="21"/>
        </w:rPr>
        <w:t xml:space="preserve">Encode XYZ Bank’s approval routing in the Section 19.3 workflow designer, with every stage named and defined — no undefined stage codes.</w:t>
      </w:r>
    </w:p>
    <w:p>
      <w:pPr>
        <w:pStyle w:val="ListParagraph"/>
        <w:numPr>
          <w:ilvl w:val="0"/>
          <w:numId w:val="2"/>
        </w:numPr>
        <w:spacing w:after="80"/>
      </w:pPr>
      <w:r>
        <w:rPr>
          <w:sz w:val="21"/>
          <w:szCs w:val="21"/>
        </w:rPr>
        <w:t xml:space="preserve">Configure the Section 19.2 worked rules (coverage-ratio shortfall, pricing justification, connected-party routing) with XYZ Bank’s own thresholds — the rule logic is product; the numbers are configuration.</w:t>
      </w:r>
    </w:p>
    <w:p>
      <w:pPr>
        <w:pStyle w:val="ListParagraph"/>
        <w:numPr>
          <w:ilvl w:val="0"/>
          <w:numId w:val="2"/>
        </w:numPr>
        <w:spacing w:after="80"/>
      </w:pPr>
      <w:r>
        <w:rPr>
          <w:sz w:val="21"/>
          <w:szCs w:val="21"/>
        </w:rPr>
        <w:t xml:space="preserve">Repeat the exercise for ABC Finance with different values, and run the same test suite against both configurations.</w:t>
      </w:r>
    </w:p>
    <w:p>
      <w:pPr>
        <w:pBdr>
          <w:top w:val="single" w:color="2E5496" w:sz="4"/>
          <w:bottom w:val="single" w:color="2E5496" w:sz="4"/>
          <w:left w:val="single" w:color="2E5496" w:sz="4"/>
          <w:right w:val="single" w:color="2E5496" w:sz="4"/>
        </w:pBdr>
        <w:shd w:fill="DCE6F1" w:val="clear"/>
        <w:spacing w:after="200" w:before="120"/>
        <w:ind w:left="200" w:right="200"/>
      </w:pPr>
      <w:r>
        <w:rPr>
          <w:b/>
          <w:bCs/>
          <w:color w:val="1F3864"/>
          <w:sz w:val="21"/>
          <w:szCs w:val="21"/>
        </w:rPr>
        <w:t xml:space="preserve">The Two-Tenant Test — </w:t>
      </w:r>
      <w:r>
        <w:rPr>
          <w:sz w:val="21"/>
          <w:szCs w:val="21"/>
        </w:rPr>
        <w:t xml:space="preserve">no capability is considered done until it has been demonstrated working, without code changes, under both reference tenant configurations. A feature that works for only one of them is a bespoke build in disguise, however generic its design looks on paper.</w:t>
      </w:r>
    </w:p>
    <w:p>
      <w:pPr>
        <w:spacing w:after="160"/>
        <w:ind w:left="360"/>
      </w:pPr>
      <w:r>
        <w:rPr>
          <w:i/>
          <w:iCs/>
          <w:color w:val="595959"/>
          <w:sz w:val="20"/>
          <w:szCs w:val="20"/>
        </w:rPr>
        <w:t xml:space="preserve">The commercial case: the first real client is onboarded the same way XYZ Bank was — by configuration of an already-tested product — rather than by a build project.</w:t>
      </w:r>
    </w:p>
    <w:p>
      <w:pPr>
        <w:pStyle w:val="Heading2"/>
        <w:keepNext/>
        <w:spacing w:after="140" w:before="320"/>
      </w:pPr>
      <w:r>
        <w:rPr>
          <w:b/>
          <w:bCs/>
          <w:color w:val="2E5496"/>
          <w:sz w:val="26"/>
          <w:szCs w:val="26"/>
        </w:rPr>
        <w:t xml:space="preserve">19.6 Database Portability</w:t>
      </w:r>
    </w:p>
    <w:p>
      <w:pPr>
        <w:pBdr>
          <w:top w:val="single" w:color="2E5496" w:sz="4"/>
          <w:bottom w:val="single" w:color="2E5496" w:sz="4"/>
          <w:left w:val="single" w:color="2E5496" w:sz="4"/>
          <w:right w:val="single" w:color="2E5496" w:sz="4"/>
        </w:pBdr>
        <w:shd w:fill="DCE6F1" w:val="clear"/>
        <w:spacing w:after="200" w:before="120"/>
        <w:ind w:left="200" w:right="200"/>
      </w:pPr>
      <w:r>
        <w:rPr>
          <w:b/>
          <w:bCs/>
          <w:color w:val="1F3864"/>
          <w:sz w:val="21"/>
          <w:szCs w:val="21"/>
        </w:rPr>
        <w:t xml:space="preserve">DB-Portable, Proven by Test — </w:t>
      </w:r>
      <w:r>
        <w:rPr>
          <w:sz w:val="21"/>
          <w:szCs w:val="21"/>
        </w:rPr>
        <w:t xml:space="preserve">portability is not claimed, it is tested. Creditum targets PostgreSQL, Microsoft SQL Server, and Oracle, and the full automated test suite runs against all three on every build. The database a bank chooses is a deployment setting, not a porting project. Engines outside that tested set (for example MySQL/MariaDB, which the data-access layer also supports) are a scoped validation task, not a rewrite.</w:t>
      </w:r>
    </w:p>
    <w:p>
      <w:pPr>
        <w:spacing w:after="160"/>
      </w:pPr>
      <w:r>
        <w:rPr>
          <w:sz w:val="21"/>
          <w:szCs w:val="21"/>
        </w:rPr>
        <w:t xml:space="preserve">Two design choices already in this document do most of the work toward portability, essentially as a byproduct of the configuration-over-hardcoding principle (Section 1.2):</w:t>
      </w:r>
    </w:p>
    <w:p>
      <w:pPr>
        <w:pStyle w:val="ListParagraph"/>
        <w:numPr>
          <w:ilvl w:val="0"/>
          <w:numId w:val="2"/>
        </w:numPr>
        <w:spacing w:after="80"/>
      </w:pPr>
      <w:r>
        <w:rPr>
          <w:sz w:val="21"/>
          <w:szCs w:val="21"/>
        </w:rPr>
        <w:t xml:space="preserve">Business logic lives in the Rules Engine and Workflow Designer (Sections 19.2, 19.3), not in database stored procedures or triggers — stored-procedure logic is typically the most vendor-locked part of any system, and this architecture never relies on it.</w:t>
      </w:r>
    </w:p>
    <w:p>
      <w:pPr>
        <w:pStyle w:val="ListParagraph"/>
        <w:numPr>
          <w:ilvl w:val="0"/>
          <w:numId w:val="2"/>
        </w:numPr>
        <w:spacing w:after="80"/>
      </w:pPr>
      <w:r>
        <w:rPr>
          <w:sz w:val="21"/>
          <w:szCs w:val="21"/>
        </w:rPr>
        <w:t xml:space="preserve">The Field Registry's core-column-plus-tenant-extension pattern (Section 19.1) is a concept every major relational engine supports, not a feature specific to one.</w:t>
      </w:r>
    </w:p>
    <w:p>
      <w:pPr>
        <w:spacing w:after="160"/>
      </w:pPr>
      <w:r>
        <w:rPr>
          <w:sz w:val="21"/>
          <w:szCs w:val="21"/>
        </w:rPr>
        <w:t xml:space="preserve">One real risk point requires deliberate handling, not an assumption that it's already solved:</w:t>
      </w:r>
    </w:p>
    <w:p>
      <w:pPr>
        <w:pStyle w:val="ListParagraph"/>
        <w:numPr>
          <w:ilvl w:val="0"/>
          <w:numId w:val="2"/>
        </w:numPr>
        <w:spacing w:after="80"/>
      </w:pPr>
      <w:r>
        <w:rPr>
          <w:sz w:val="21"/>
          <w:szCs w:val="21"/>
        </w:rPr>
        <w:t xml:space="preserve">The custom-field extension mechanism was the one real portability risk. It is resolved by design: tenant extension fields use a typed attribute-value table (Section 19.1), not a JSON/JSONB column. The accepted trade-off is query cost on heavily filtered custom fields, mitigated by indexing on (field, value) and by promoting widely used custom fields into the core library in a later release. Rule and workflow definitions (Sections 19.2–19.3) are stored as JSON text that the application parses; the database never queries inside them, so they remain portable.</w:t>
      </w:r>
    </w:p>
    <w:p>
      <w:pPr>
        <w:spacing w:after="160"/>
      </w:pPr>
      <w:r>
        <w:rPr>
          <w:b/>
          <w:bCs/>
          <w:sz w:val="21"/>
          <w:szCs w:val="21"/>
        </w:rPr>
        <w:t xml:space="preserve">Decision (v0.14).</w:t>
      </w:r>
      <w:r>
        <w:rPr>
          <w:sz w:val="21"/>
          <w:szCs w:val="21"/>
        </w:rPr>
        <w:t xml:space="preserve"> Development and the reference build run on PostgreSQL (no licence cost); SQL Server and Oracle are supported targets from the first release. Four rules are enforced from day one, by the build pipeline rather than by convention (Section 25.4):</w:t>
      </w:r>
    </w:p>
    <w:p>
      <w:pPr>
        <w:pStyle w:val="ListParagraph"/>
        <w:numPr>
          <w:ilvl w:val="0"/>
          <w:numId w:val="2"/>
        </w:numPr>
        <w:spacing w:after="80"/>
      </w:pPr>
      <w:r>
        <w:rPr>
          <w:sz w:val="21"/>
          <w:szCs w:val="21"/>
        </w:rPr>
        <w:t xml:space="preserve">No raw vendor-specific SQL in application code — all data access goes through the data-access layer (Section 25.1).</w:t>
      </w:r>
    </w:p>
    <w:p>
      <w:pPr>
        <w:pStyle w:val="ListParagraph"/>
        <w:numPr>
          <w:ilvl w:val="0"/>
          <w:numId w:val="2"/>
        </w:numPr>
        <w:spacing w:after="80"/>
      </w:pPr>
      <w:r>
        <w:rPr>
          <w:sz w:val="21"/>
          <w:szCs w:val="21"/>
        </w:rPr>
        <w:t xml:space="preserve">No business logic in stored procedures or triggers.</w:t>
      </w:r>
    </w:p>
    <w:p>
      <w:pPr>
        <w:pStyle w:val="ListParagraph"/>
        <w:numPr>
          <w:ilvl w:val="0"/>
          <w:numId w:val="2"/>
        </w:numPr>
        <w:spacing w:after="80"/>
      </w:pPr>
      <w:r>
        <w:rPr>
          <w:sz w:val="21"/>
          <w:szCs w:val="21"/>
        </w:rPr>
        <w:t xml:space="preserve">All schema changes through versioned migrations generated for each supported engine.</w:t>
      </w:r>
    </w:p>
    <w:p>
      <w:pPr>
        <w:pStyle w:val="ListParagraph"/>
        <w:numPr>
          <w:ilvl w:val="0"/>
          <w:numId w:val="2"/>
        </w:numPr>
        <w:spacing w:after="80"/>
      </w:pPr>
      <w:r>
        <w:rPr>
          <w:sz w:val="21"/>
          <w:szCs w:val="21"/>
        </w:rPr>
        <w:t xml:space="preserve">Every build runs the full test suite against PostgreSQL, SQL Server, and Oracle in containers; a change that passes on one engine and fails on another fails the build.</w:t>
      </w:r>
    </w:p>
    <w:p>
      <w:pPr>
        <w:pStyle w:val="Heading1"/>
        <w:pageBreakBefore/>
        <w:spacing w:after="200" w:before="400"/>
      </w:pPr>
      <w:r>
        <w:rPr>
          <w:b/>
          <w:bCs/>
          <w:color w:val="1F3864"/>
          <w:sz w:val="32"/>
          <w:szCs w:val="32"/>
        </w:rPr>
        <w:t xml:space="preserve">20. Low-Code Administration &amp; Bank Self-Sufficiency</w:t>
      </w:r>
    </w:p>
    <w:p>
      <w:pPr>
        <w:spacing w:after="160"/>
      </w:pPr>
      <w:r>
        <w:rPr>
          <w:sz w:val="21"/>
          <w:szCs w:val="21"/>
        </w:rPr>
        <w:t xml:space="preserve">Section 19 defines the schema that makes fields, rules, and workflow configurable. That schema is a backend data model — on its own, editing it still requires someone comfortable writing structured records by hand, which in practice means a developer. This section defines the VISUAL TOOLING LAYER on top of that schema, so a bank's own Business Analyst, Credit Policy Owner, or IT administrator — the same people who filled in Section 18's register — can make routine changes themselves, without code, without a vendor ticket, and without waiting for a release cycle.</w:t>
      </w:r>
    </w:p>
    <w:p>
      <w:pPr>
        <w:spacing w:after="160"/>
      </w:pPr>
      <w:r>
        <w:rPr>
          <w:sz w:val="21"/>
          <w:szCs w:val="21"/>
        </w:rPr>
        <w:t xml:space="preserve">This directly answers the gap the reference engagement's own business team raised and the vendor said was out of scope: “replace hard-coded elements... dynamic updates such as amending product lists, incorporating additional workflows.” Low-code administration is how that request actually gets delivered, not just acknowledged in a design document.</w:t>
      </w:r>
    </w:p>
    <w:p>
      <w:pPr>
        <w:pBdr>
          <w:top w:val="single" w:color="2E5496" w:sz="4"/>
          <w:bottom w:val="single" w:color="2E5496" w:sz="4"/>
          <w:left w:val="single" w:color="2E5496" w:sz="4"/>
          <w:right w:val="single" w:color="2E5496" w:sz="4"/>
        </w:pBdr>
        <w:shd w:fill="DCE6F1" w:val="clear"/>
        <w:spacing w:after="200" w:before="120"/>
        <w:ind w:left="200" w:right="200"/>
      </w:pPr>
      <w:r>
        <w:rPr>
          <w:b/>
          <w:bCs/>
          <w:color w:val="1F3864"/>
          <w:sz w:val="21"/>
          <w:szCs w:val="21"/>
        </w:rPr>
        <w:t xml:space="preserve">Low-Code, Not No-Code — </w:t>
      </w:r>
      <w:r>
        <w:rPr>
          <w:sz w:val="21"/>
          <w:szCs w:val="21"/>
        </w:rPr>
        <w:t xml:space="preserve">this platform is deliberately scoped as low-code: the large majority of what a bank touches day-to-day (fields, rules, workflow, regulatory parameters) is self-service and requires no developer. It is not marketed or designed as no-code — a clearly bounded category of work (new integration adapters, genuinely complex calculated logic, custom UI, changes to the shared core library) still requires a development engagement, by design, per Section 20.6. Stating this distinction explicitly protects the platform's credibility: a no-code claim invites a prospect to find the first edge case that breaks it.</w:t>
      </w:r>
    </w:p>
    <w:p>
      <w:pPr>
        <w:pStyle w:val="Heading2"/>
        <w:keepNext/>
        <w:spacing w:after="140" w:before="320"/>
      </w:pPr>
      <w:r>
        <w:rPr>
          <w:b/>
          <w:bCs/>
          <w:color w:val="2E5496"/>
          <w:sz w:val="26"/>
          <w:szCs w:val="26"/>
        </w:rPr>
        <w:t xml:space="preserve">20.1 Visual Field Builder</w:t>
      </w:r>
    </w:p>
    <w:p>
      <w:pPr>
        <w:spacing w:after="160"/>
      </w:pPr>
      <w:r>
        <w:rPr>
          <w:sz w:val="21"/>
          <w:szCs w:val="21"/>
        </w:rPr>
        <w:t xml:space="preserve">Maps directly onto the Section 19.1 field metadata schema, exposed as a form, not a database table:</w:t>
      </w:r>
    </w:p>
    <w:p>
      <w:pPr>
        <w:pStyle w:val="ListParagraph"/>
        <w:numPr>
          <w:ilvl w:val="0"/>
          <w:numId w:val="2"/>
        </w:numPr>
        <w:spacing w:after="80"/>
      </w:pPr>
      <w:r>
        <w:rPr>
          <w:sz w:val="21"/>
          <w:szCs w:val="21"/>
        </w:rPr>
        <w:t xml:space="preserve">Add a field by filling a form — label, data type, module placement, mandatory/optional default, source type — with no SQL, no schema migration, and no deployment.</w:t>
      </w:r>
    </w:p>
    <w:p>
      <w:pPr>
        <w:pStyle w:val="ListParagraph"/>
        <w:numPr>
          <w:ilvl w:val="0"/>
          <w:numId w:val="2"/>
        </w:numPr>
        <w:spacing w:after="80"/>
      </w:pPr>
      <w:r>
        <w:rPr>
          <w:sz w:val="21"/>
          <w:szCs w:val="21"/>
        </w:rPr>
        <w:t xml:space="preserve">Drag-and-drop placement onto the module canvas (matching Section 4's module layout) so the admin sees exactly where the field will appear to end users.</w:t>
      </w:r>
    </w:p>
    <w:p>
      <w:pPr>
        <w:pStyle w:val="ListParagraph"/>
        <w:numPr>
          <w:ilvl w:val="0"/>
          <w:numId w:val="2"/>
        </w:numPr>
        <w:spacing w:after="80"/>
      </w:pPr>
      <w:r>
        <w:rPr>
          <w:sz w:val="21"/>
          <w:szCs w:val="21"/>
        </w:rPr>
        <w:t xml:space="preserve">Field type picker includes every data_type in Section 19.1 (Text, Rich Text, Number, Date, Dropdown, Boolean, Currency Amount) with type-appropriate options (e.g., a Dropdown type prompts for its value list inline; a Rich Text type prompts for which formatting capabilities — tables, hyperlinks, paste-from-Word cleanup — to enable).</w:t>
      </w:r>
    </w:p>
    <w:p>
      <w:pPr>
        <w:pStyle w:val="ListParagraph"/>
        <w:numPr>
          <w:ilvl w:val="0"/>
          <w:numId w:val="2"/>
        </w:numPr>
        <w:spacing w:after="80"/>
      </w:pPr>
      <w:r>
        <w:rPr>
          <w:sz w:val="21"/>
          <w:szCs w:val="21"/>
        </w:rPr>
        <w:t xml:space="preserve">Every new field is automatically added to the Field Matrix-equivalent register for that tenant, so “which fields has this bank added beyond the core library” is always a live report, not a document someone has to reconstruct (contrast with how this engagement had to reverse-engineer NBK's own field set from a static PRD).</w:t>
      </w:r>
    </w:p>
    <w:p>
      <w:pPr>
        <w:pStyle w:val="Heading2"/>
        <w:keepNext/>
        <w:spacing w:after="140" w:before="320"/>
      </w:pPr>
      <w:r>
        <w:rPr>
          <w:b/>
          <w:bCs/>
          <w:color w:val="2E5496"/>
          <w:sz w:val="26"/>
          <w:szCs w:val="26"/>
        </w:rPr>
        <w:t xml:space="preserve">20.2 Visual Rule Builder</w:t>
      </w:r>
    </w:p>
    <w:p>
      <w:pPr>
        <w:spacing w:after="160"/>
      </w:pPr>
      <w:r>
        <w:rPr>
          <w:sz w:val="21"/>
          <w:szCs w:val="21"/>
        </w:rPr>
        <w:t xml:space="preserve">Maps onto the Section 19.2 rule schema as a condition-picker/action-picker interface:</w:t>
      </w:r>
    </w:p>
    <w:p>
      <w:pPr>
        <w:pStyle w:val="ListParagraph"/>
        <w:numPr>
          <w:ilvl w:val="0"/>
          <w:numId w:val="2"/>
        </w:numPr>
        <w:spacing w:after="80"/>
      </w:pPr>
      <w:r>
        <w:rPr>
          <w:sz w:val="21"/>
          <w:szCs w:val="21"/>
        </w:rPr>
        <w:t xml:space="preserve">“When [field] [operator] [value], then [action] on [target field]” — built by selecting from dropdowns populated with the tenant's own configured fields, never by typing an expression language.</w:t>
      </w:r>
    </w:p>
    <w:p>
      <w:pPr>
        <w:pStyle w:val="ListParagraph"/>
        <w:numPr>
          <w:ilvl w:val="0"/>
          <w:numId w:val="2"/>
        </w:numPr>
        <w:spacing w:after="80"/>
      </w:pPr>
      <w:r>
        <w:rPr>
          <w:sz w:val="21"/>
          <w:szCs w:val="21"/>
        </w:rPr>
        <w:t xml:space="preserve">A live preview pane shows the affected screen with the rule applied before publishing, so an admin can see “with this rule, Extension Count appears here” without touching a test environment.</w:t>
      </w:r>
    </w:p>
    <w:p>
      <w:pPr>
        <w:pStyle w:val="ListParagraph"/>
        <w:numPr>
          <w:ilvl w:val="0"/>
          <w:numId w:val="2"/>
        </w:numPr>
        <w:spacing w:after="80"/>
      </w:pPr>
      <w:r>
        <w:rPr>
          <w:sz w:val="21"/>
          <w:szCs w:val="21"/>
        </w:rPr>
        <w:t xml:space="preserve">Conflict detection: if two active rules target the same field with contradictory actions, the builder flags it before save — this is the single check that would have caught the reference engagement's own Coverage Ratio fields carrying three contradictory editable/system-calculated settings across different grids.</w:t>
      </w:r>
    </w:p>
    <w:p>
      <w:pPr>
        <w:pStyle w:val="ListParagraph"/>
        <w:numPr>
          <w:ilvl w:val="0"/>
          <w:numId w:val="2"/>
        </w:numPr>
        <w:spacing w:after="80"/>
      </w:pPr>
      <w:r>
        <w:rPr>
          <w:sz w:val="21"/>
          <w:szCs w:val="21"/>
        </w:rPr>
        <w:t xml:space="preserve">Full version history with one-click rollback on every rule, independent of a full environment restore.</w:t>
      </w:r>
    </w:p>
    <w:p>
      <w:pPr>
        <w:pStyle w:val="Heading2"/>
        <w:keepNext/>
        <w:spacing w:after="140" w:before="320"/>
      </w:pPr>
      <w:r>
        <w:rPr>
          <w:b/>
          <w:bCs/>
          <w:color w:val="2E5496"/>
          <w:sz w:val="26"/>
          <w:szCs w:val="26"/>
        </w:rPr>
        <w:t xml:space="preserve">20.3 Visual Workflow Designer</w:t>
      </w:r>
    </w:p>
    <w:p>
      <w:pPr>
        <w:spacing w:after="160"/>
      </w:pPr>
      <w:r>
        <w:rPr>
          <w:sz w:val="21"/>
          <w:szCs w:val="21"/>
        </w:rPr>
        <w:t xml:space="preserve">Maps onto the Section 19.3 workflow schema as a drag-and-drop stage sequencer:</w:t>
      </w:r>
    </w:p>
    <w:p>
      <w:pPr>
        <w:pStyle w:val="ListParagraph"/>
        <w:numPr>
          <w:ilvl w:val="0"/>
          <w:numId w:val="2"/>
        </w:numPr>
        <w:spacing w:after="80"/>
      </w:pPr>
      <w:r>
        <w:rPr>
          <w:sz w:val="21"/>
          <w:szCs w:val="21"/>
        </w:rPr>
        <w:t xml:space="preserve">A library of reusable, named stages (Documentation Review, Legal Review, Quality Assurance, etc.) that an admin drags into sequence for each Request Type — it is structurally impossible to introduce an unnamed stage code, since every stage in the library was named when it was created.</w:t>
      </w:r>
    </w:p>
    <w:p>
      <w:pPr>
        <w:pStyle w:val="ListParagraph"/>
        <w:numPr>
          <w:ilvl w:val="0"/>
          <w:numId w:val="2"/>
        </w:numPr>
        <w:spacing w:after="80"/>
      </w:pPr>
      <w:r>
        <w:rPr>
          <w:sz w:val="21"/>
          <w:szCs w:val="21"/>
        </w:rPr>
        <w:t xml:space="preserve">Per-stage configuration (owning role, SLA hours) set inline on the canvas, not in a separate document that can drift out of sync with the diagram — directly preventing the kind of stale worked-example inconsistency found in the reference engagement's own SDD.</w:t>
      </w:r>
    </w:p>
    <w:p>
      <w:pPr>
        <w:pStyle w:val="ListParagraph"/>
        <w:numPr>
          <w:ilvl w:val="0"/>
          <w:numId w:val="2"/>
        </w:numPr>
        <w:spacing w:after="80"/>
      </w:pPr>
      <w:r>
        <w:rPr>
          <w:sz w:val="21"/>
          <w:szCs w:val="21"/>
        </w:rPr>
        <w:t xml:space="preserve">A ‘Simulate’ mode: run a test request through a draft workflow end-to-end before publishing, surfacing any stage with no owning role assigned or any unreachable branch.</w:t>
      </w:r>
    </w:p>
    <w:p>
      <w:pPr>
        <w:pStyle w:val="ListParagraph"/>
        <w:numPr>
          <w:ilvl w:val="0"/>
          <w:numId w:val="2"/>
        </w:numPr>
        <w:spacing w:after="80"/>
      </w:pPr>
      <w:r>
        <w:rPr>
          <w:sz w:val="21"/>
          <w:szCs w:val="21"/>
        </w:rPr>
        <w:t xml:space="preserve">Side-by-side version compare: view exactly what changed between any two published versions of a workflow — the feature that would have turned this engagement's manual document-diffing exercise (SDD V1.15 vs. V1.16) into a two-click report.</w:t>
      </w:r>
    </w:p>
    <w:p>
      <w:pPr>
        <w:pStyle w:val="Heading2"/>
        <w:keepNext/>
        <w:spacing w:after="140" w:before="320"/>
      </w:pPr>
      <w:r>
        <w:rPr>
          <w:b/>
          <w:bCs/>
          <w:color w:val="2E5496"/>
          <w:sz w:val="26"/>
          <w:szCs w:val="26"/>
        </w:rPr>
        <w:t xml:space="preserve">20.4 Self-Service Admin Console</w:t>
      </w:r>
    </w:p>
    <w:p>
      <w:pPr>
        <w:spacing w:after="160"/>
      </w:pPr>
      <w:r>
        <w:rPr>
          <w:sz w:val="21"/>
          <w:szCs w:val="21"/>
        </w:rPr>
        <w:t xml:space="preserve">The operational home for everything in Section 18's Configuration Requirements Register, as live screens instead of a document to fill in: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rPr>
          <w:tblHeader/>
        </w:trPr>
        <w:tc>
          <w:tcPr>
            <w:tcW w:type="dxa" w:w="3600"/>
            <w:shd w:fill="1F3864" w:val="clear"/>
            <w:tcMar>
              <w:top w:type="dxa" w:w="60"/>
              <w:left w:type="dxa" w:w="80"/>
              <w:bottom w:type="dxa" w:w="60"/>
              <w:right w:type="dxa" w:w="80"/>
            </w:tcMar>
          </w:tcPr>
          <w:p>
            <w:r>
              <w:rPr>
                <w:b/>
                <w:bCs/>
                <w:color w:val="FFFFFF"/>
                <w:sz w:val="19"/>
                <w:szCs w:val="19"/>
              </w:rPr>
              <w:t xml:space="preserve">Console Area</w:t>
            </w:r>
          </w:p>
        </w:tc>
        <w:tc>
          <w:tcPr>
            <w:tcW w:type="dxa" w:w="5400"/>
            <w:shd w:fill="1F3864" w:val="clear"/>
            <w:tcMar>
              <w:top w:type="dxa" w:w="60"/>
              <w:left w:type="dxa" w:w="80"/>
              <w:bottom w:type="dxa" w:w="60"/>
              <w:right w:type="dxa" w:w="80"/>
            </w:tcMar>
          </w:tcPr>
          <w:p>
            <w:r>
              <w:rPr>
                <w:b/>
                <w:bCs/>
                <w:color w:val="FFFFFF"/>
                <w:sz w:val="19"/>
                <w:szCs w:val="19"/>
              </w:rPr>
              <w:t xml:space="preserve">What It Replaces From Section 18</w:t>
            </w:r>
          </w:p>
        </w:tc>
      </w:tr>
      <w:tr>
        <w:tc>
          <w:tcPr>
            <w:tcW w:type="dxa" w:w="3600"/>
            <w:shd w:fill="FFFFFF" w:val="clear"/>
            <w:tcMar>
              <w:top w:type="dxa" w:w="60"/>
              <w:left w:type="dxa" w:w="80"/>
              <w:bottom w:type="dxa" w:w="60"/>
              <w:right w:type="dxa" w:w="80"/>
            </w:tcMar>
          </w:tcPr>
          <w:p>
            <w:r>
              <w:rPr>
                <w:sz w:val="19"/>
                <w:szCs w:val="19"/>
              </w:rPr>
              <w:t xml:space="preserve">Role &amp; Permission Manager</w:t>
            </w:r>
          </w:p>
        </w:tc>
        <w:tc>
          <w:tcPr>
            <w:tcW w:type="dxa" w:w="5400"/>
            <w:shd w:fill="FFFFFF" w:val="clear"/>
            <w:tcMar>
              <w:top w:type="dxa" w:w="60"/>
              <w:left w:type="dxa" w:w="80"/>
              <w:bottom w:type="dxa" w:w="60"/>
              <w:right w:type="dxa" w:w="80"/>
            </w:tcMar>
          </w:tcPr>
          <w:p>
            <w:r>
              <w:rPr>
                <w:sz w:val="19"/>
                <w:szCs w:val="19"/>
              </w:rPr>
              <w:t xml:space="preserve">18.1 Organizational &amp; Role Configuration</w:t>
            </w:r>
          </w:p>
        </w:tc>
      </w:tr>
      <w:tr>
        <w:tc>
          <w:tcPr>
            <w:tcW w:type="dxa" w:w="3600"/>
            <w:shd w:fill="DCE6F1" w:val="clear"/>
            <w:tcMar>
              <w:top w:type="dxa" w:w="60"/>
              <w:left w:type="dxa" w:w="80"/>
              <w:bottom w:type="dxa" w:w="60"/>
              <w:right w:type="dxa" w:w="80"/>
            </w:tcMar>
          </w:tcPr>
          <w:p>
            <w:r>
              <w:rPr>
                <w:sz w:val="19"/>
                <w:szCs w:val="19"/>
              </w:rPr>
              <w:t xml:space="preserve">Delegated Authority Matrix Wizard</w:t>
            </w:r>
          </w:p>
        </w:tc>
        <w:tc>
          <w:tcPr>
            <w:tcW w:type="dxa" w:w="5400"/>
            <w:shd w:fill="DCE6F1" w:val="clear"/>
            <w:tcMar>
              <w:top w:type="dxa" w:w="60"/>
              <w:left w:type="dxa" w:w="80"/>
              <w:bottom w:type="dxa" w:w="60"/>
              <w:right w:type="dxa" w:w="80"/>
            </w:tcMar>
          </w:tcPr>
          <w:p>
            <w:r>
              <w:rPr>
                <w:sz w:val="19"/>
                <w:szCs w:val="19"/>
              </w:rPr>
              <w:t xml:space="preserve">18.1 — guided setup, not a blank spreadsheet</w:t>
            </w:r>
          </w:p>
        </w:tc>
      </w:tr>
      <w:tr>
        <w:tc>
          <w:tcPr>
            <w:tcW w:type="dxa" w:w="3600"/>
            <w:shd w:fill="FFFFFF" w:val="clear"/>
            <w:tcMar>
              <w:top w:type="dxa" w:w="60"/>
              <w:left w:type="dxa" w:w="80"/>
              <w:bottom w:type="dxa" w:w="60"/>
              <w:right w:type="dxa" w:w="80"/>
            </w:tcMar>
          </w:tcPr>
          <w:p>
            <w:r>
              <w:rPr>
                <w:sz w:val="19"/>
                <w:szCs w:val="19"/>
              </w:rPr>
              <w:t xml:space="preserve">Product &amp; Facility Catalog Manager</w:t>
            </w:r>
          </w:p>
        </w:tc>
        <w:tc>
          <w:tcPr>
            <w:tcW w:type="dxa" w:w="5400"/>
            <w:shd w:fill="FFFFFF" w:val="clear"/>
            <w:tcMar>
              <w:top w:type="dxa" w:w="60"/>
              <w:left w:type="dxa" w:w="80"/>
              <w:bottom w:type="dxa" w:w="60"/>
              <w:right w:type="dxa" w:w="80"/>
            </w:tcMar>
          </w:tcPr>
          <w:p>
            <w:r>
              <w:rPr>
                <w:sz w:val="19"/>
                <w:szCs w:val="19"/>
              </w:rPr>
              <w:t xml:space="preserve">18.2 — includes a hard validation that blocks saving a facility type with no Fixed/Revolving value</w:t>
            </w:r>
          </w:p>
        </w:tc>
      </w:tr>
      <w:tr>
        <w:tc>
          <w:tcPr>
            <w:tcW w:type="dxa" w:w="3600"/>
            <w:shd w:fill="DCE6F1" w:val="clear"/>
            <w:tcMar>
              <w:top w:type="dxa" w:w="60"/>
              <w:left w:type="dxa" w:w="80"/>
              <w:bottom w:type="dxa" w:w="60"/>
              <w:right w:type="dxa" w:w="80"/>
            </w:tcMar>
          </w:tcPr>
          <w:p>
            <w:r>
              <w:rPr>
                <w:sz w:val="19"/>
                <w:szCs w:val="19"/>
              </w:rPr>
              <w:t xml:space="preserve">Regulatory Parameter Manager</w:t>
            </w:r>
          </w:p>
        </w:tc>
        <w:tc>
          <w:tcPr>
            <w:tcW w:type="dxa" w:w="5400"/>
            <w:shd w:fill="DCE6F1" w:val="clear"/>
            <w:tcMar>
              <w:top w:type="dxa" w:w="60"/>
              <w:left w:type="dxa" w:w="80"/>
              <w:bottom w:type="dxa" w:w="60"/>
              <w:right w:type="dxa" w:w="80"/>
            </w:tcMar>
          </w:tcPr>
          <w:p>
            <w:r>
              <w:rPr>
                <w:sz w:val="19"/>
                <w:szCs w:val="19"/>
              </w:rPr>
              <w:t xml:space="preserve">18.3 — single obligor limit, large exposure thresholds, DSCR minimum, etc., each with an inline explanation of what it controls</w:t>
            </w:r>
          </w:p>
        </w:tc>
      </w:tr>
      <w:tr>
        <w:tc>
          <w:tcPr>
            <w:tcW w:type="dxa" w:w="3600"/>
            <w:shd w:fill="FFFFFF" w:val="clear"/>
            <w:tcMar>
              <w:top w:type="dxa" w:w="60"/>
              <w:left w:type="dxa" w:w="80"/>
              <w:bottom w:type="dxa" w:w="60"/>
              <w:right w:type="dxa" w:w="80"/>
            </w:tcMar>
          </w:tcPr>
          <w:p>
            <w:r>
              <w:rPr>
                <w:sz w:val="19"/>
                <w:szCs w:val="19"/>
              </w:rPr>
              <w:t xml:space="preserve">Currency &amp; Locale Setup</w:t>
            </w:r>
          </w:p>
        </w:tc>
        <w:tc>
          <w:tcPr>
            <w:tcW w:type="dxa" w:w="5400"/>
            <w:shd w:fill="FFFFFF" w:val="clear"/>
            <w:tcMar>
              <w:top w:type="dxa" w:w="60"/>
              <w:left w:type="dxa" w:w="80"/>
              <w:bottom w:type="dxa" w:w="60"/>
              <w:right w:type="dxa" w:w="80"/>
            </w:tcMar>
          </w:tcPr>
          <w:p>
            <w:r>
              <w:rPr>
                <w:sz w:val="19"/>
                <w:szCs w:val="19"/>
              </w:rPr>
              <w:t xml:space="preserve">18.4</w:t>
            </w:r>
          </w:p>
        </w:tc>
      </w:tr>
      <w:tr>
        <w:tc>
          <w:tcPr>
            <w:tcW w:type="dxa" w:w="3600"/>
            <w:shd w:fill="DCE6F1" w:val="clear"/>
            <w:tcMar>
              <w:top w:type="dxa" w:w="60"/>
              <w:left w:type="dxa" w:w="80"/>
              <w:bottom w:type="dxa" w:w="60"/>
              <w:right w:type="dxa" w:w="80"/>
            </w:tcMar>
          </w:tcPr>
          <w:p>
            <w:r>
              <w:rPr>
                <w:sz w:val="19"/>
                <w:szCs w:val="19"/>
              </w:rPr>
              <w:t xml:space="preserve">Integration Adapter Manager</w:t>
            </w:r>
          </w:p>
        </w:tc>
        <w:tc>
          <w:tcPr>
            <w:tcW w:type="dxa" w:w="5400"/>
            <w:shd w:fill="DCE6F1" w:val="clear"/>
            <w:tcMar>
              <w:top w:type="dxa" w:w="60"/>
              <w:left w:type="dxa" w:w="80"/>
              <w:bottom w:type="dxa" w:w="60"/>
              <w:right w:type="dxa" w:w="80"/>
            </w:tcMar>
          </w:tcPr>
          <w:p>
            <w:r>
              <w:rPr>
                <w:sz w:val="19"/>
                <w:szCs w:val="19"/>
              </w:rPr>
              <w:t xml:space="preserve">18.5 — connect/test/monitor each adapter's status from one screen</w:t>
            </w:r>
          </w:p>
        </w:tc>
      </w:tr>
      <w:tr>
        <w:tc>
          <w:tcPr>
            <w:tcW w:type="dxa" w:w="3600"/>
            <w:shd w:fill="FFFFFF" w:val="clear"/>
            <w:tcMar>
              <w:top w:type="dxa" w:w="60"/>
              <w:left w:type="dxa" w:w="80"/>
              <w:bottom w:type="dxa" w:w="60"/>
              <w:right w:type="dxa" w:w="80"/>
            </w:tcMar>
          </w:tcPr>
          <w:p>
            <w:r>
              <w:rPr>
                <w:sz w:val="19"/>
                <w:szCs w:val="19"/>
              </w:rPr>
              <w:t xml:space="preserve">Dashboard &amp; Widget Assignment</w:t>
            </w:r>
          </w:p>
        </w:tc>
        <w:tc>
          <w:tcPr>
            <w:tcW w:type="dxa" w:w="5400"/>
            <w:shd w:fill="FFFFFF" w:val="clear"/>
            <w:tcMar>
              <w:top w:type="dxa" w:w="60"/>
              <w:left w:type="dxa" w:w="80"/>
              <w:bottom w:type="dxa" w:w="60"/>
              <w:right w:type="dxa" w:w="80"/>
            </w:tcMar>
          </w:tcPr>
          <w:p>
            <w:r>
              <w:rPr>
                <w:sz w:val="19"/>
                <w:szCs w:val="19"/>
              </w:rPr>
              <w:t xml:space="preserve">18.6</w:t>
            </w:r>
          </w:p>
        </w:tc>
      </w:tr>
    </w:tbl>
    <w:p>
      <w:pPr>
        <w:pStyle w:val="Heading2"/>
        <w:keepNext/>
        <w:spacing w:after="140" w:before="320"/>
      </w:pPr>
      <w:r>
        <w:rPr>
          <w:b/>
          <w:bCs/>
          <w:color w:val="2E5496"/>
          <w:sz w:val="26"/>
          <w:szCs w:val="26"/>
        </w:rPr>
        <w:t xml:space="preserve">20.5 Guardrails for Governed Self-Service</w:t>
      </w:r>
    </w:p>
    <w:p>
      <w:pPr>
        <w:spacing w:after="160"/>
      </w:pPr>
      <w:r>
        <w:rPr>
          <w:sz w:val="21"/>
          <w:szCs w:val="21"/>
        </w:rPr>
        <w:t xml:space="preserve">Low-code does not mean ungoverned — the Section 19.4 governance model applies in full, surfaced through the same visual tools rather than weakened by them:</w:t>
      </w:r>
    </w:p>
    <w:p>
      <w:pPr>
        <w:pStyle w:val="ListParagraph"/>
        <w:numPr>
          <w:ilvl w:val="0"/>
          <w:numId w:val="2"/>
        </w:numPr>
        <w:spacing w:after="80"/>
      </w:pPr>
      <w:r>
        <w:rPr>
          <w:sz w:val="21"/>
          <w:szCs w:val="21"/>
        </w:rPr>
        <w:t xml:space="preserve">Every configuration change (field, rule, or workflow) still goes through the Sandbox → Production promotion path (Section 19.4); the visual builders operate IN the sandbox by default, with a distinct, deliberate ‘Promote to Production’ action.</w:t>
      </w:r>
    </w:p>
    <w:p>
      <w:pPr>
        <w:pStyle w:val="ListParagraph"/>
        <w:numPr>
          <w:ilvl w:val="0"/>
          <w:numId w:val="2"/>
        </w:numPr>
        <w:spacing w:after="80"/>
      </w:pPr>
      <w:r>
        <w:rPr>
          <w:sz w:val="21"/>
          <w:szCs w:val="21"/>
        </w:rPr>
        <w:t xml:space="preserve">Role-gated builder access — the Visual Rule Builder and Workflow Designer are only reachable by the Configuration Admin role; a Relationship Officer never sees them.</w:t>
      </w:r>
    </w:p>
    <w:p>
      <w:pPr>
        <w:pStyle w:val="ListParagraph"/>
        <w:numPr>
          <w:ilvl w:val="0"/>
          <w:numId w:val="2"/>
        </w:numPr>
        <w:spacing w:after="80"/>
      </w:pPr>
      <w:r>
        <w:rPr>
          <w:sz w:val="21"/>
          <w:szCs w:val="21"/>
        </w:rPr>
        <w:t xml:space="preserve">Automated pre-publish validation (the Section 19.1/19.2 completeness checklist, run automatically): no facility type without Fixed/Revolving set, no rule referencing a deleted field, no workflow stage with an unassigned owning role.</w:t>
      </w:r>
    </w:p>
    <w:p>
      <w:pPr>
        <w:pStyle w:val="ListParagraph"/>
        <w:numPr>
          <w:ilvl w:val="0"/>
          <w:numId w:val="2"/>
        </w:numPr>
        <w:spacing w:after="80"/>
      </w:pPr>
      <w:r>
        <w:rPr>
          <w:sz w:val="21"/>
          <w:szCs w:val="21"/>
        </w:rPr>
        <w:t xml:space="preserve">Every change remains fully attributable and versioned (Section 19.4) — low-code changes the WHO can make a change, never the audit trail of WHAT changed.</w:t>
      </w:r>
    </w:p>
    <w:p>
      <w:pPr>
        <w:pStyle w:val="Heading2"/>
        <w:keepNext/>
        <w:spacing w:after="140" w:before="320"/>
      </w:pPr>
      <w:r>
        <w:rPr>
          <w:b/>
          <w:bCs/>
          <w:color w:val="2E5496"/>
          <w:sz w:val="26"/>
          <w:szCs w:val="26"/>
        </w:rPr>
        <w:t xml:space="preserve">20.6 Honest Boundary: What Still Needs a Developer</w:t>
      </w:r>
    </w:p>
    <w:p>
      <w:pPr>
        <w:spacing w:after="160"/>
      </w:pPr>
      <w:r>
        <w:rPr>
          <w:sz w:val="21"/>
          <w:szCs w:val="21"/>
        </w:rPr>
        <w:t xml:space="preserve">A platform that claims to need zero code for everything is overselling itself — stating the boundary clearly here is more useful to a bank's own planning than pretending it doesn't exist:</w:t>
      </w:r>
    </w:p>
    <w:p>
      <w:pPr>
        <w:pStyle w:val="ListParagraph"/>
        <w:numPr>
          <w:ilvl w:val="0"/>
          <w:numId w:val="2"/>
        </w:numPr>
        <w:spacing w:after="80"/>
      </w:pPr>
      <w:r>
        <w:rPr>
          <w:sz w:val="21"/>
          <w:szCs w:val="21"/>
        </w:rPr>
        <w:t xml:space="preserve">New integration adapters (Section 11.1) for a core banking system, bureau, or CRM the platform hasn't connected to before — building a new adapter is a development task, even though USING an already-built adapter is pure configuration.</w:t>
      </w:r>
    </w:p>
    <w:p>
      <w:pPr>
        <w:pStyle w:val="ListParagraph"/>
        <w:numPr>
          <w:ilvl w:val="0"/>
          <w:numId w:val="2"/>
        </w:numPr>
        <w:spacing w:after="80"/>
      </w:pPr>
      <w:r>
        <w:rPr>
          <w:sz w:val="21"/>
          <w:szCs w:val="21"/>
        </w:rPr>
        <w:t xml:space="preserve">Calculated fields whose formula genuinely exceeds simple arithmetic/conditional expressions (the Weighted ROC/RAROC pattern in Section 7.2 is low-code-expressible; a bespoke statistical model is not).</w:t>
      </w:r>
    </w:p>
    <w:p>
      <w:pPr>
        <w:pStyle w:val="ListParagraph"/>
        <w:numPr>
          <w:ilvl w:val="0"/>
          <w:numId w:val="2"/>
        </w:numPr>
        <w:spacing w:after="80"/>
      </w:pPr>
      <w:r>
        <w:rPr>
          <w:sz w:val="21"/>
          <w:szCs w:val="21"/>
        </w:rPr>
        <w:t xml:space="preserve">Custom UI components beyond the standard field/grid/dashboard widget library (Section 10, 15).</w:t>
      </w:r>
    </w:p>
    <w:p>
      <w:pPr>
        <w:pStyle w:val="ListParagraph"/>
        <w:numPr>
          <w:ilvl w:val="0"/>
          <w:numId w:val="2"/>
        </w:numPr>
        <w:spacing w:after="80"/>
      </w:pPr>
      <w:r>
        <w:rPr>
          <w:sz w:val="21"/>
          <w:szCs w:val="21"/>
        </w:rPr>
        <w:t xml:space="preserve">Performance tuning for very high-volume tenants, and any change to the core shared field library itself (Section 19.1) rather than a tenant's own extension — the core library is intentionally change-controlled since it's shared across every tenant.</w:t>
      </w:r>
    </w:p>
    <w:p>
      <w:pPr>
        <w:spacing w:after="160"/>
        <w:ind w:left="360"/>
      </w:pPr>
      <w:r>
        <w:rPr>
          <w:i/>
          <w:iCs/>
          <w:color w:val="595959"/>
          <w:sz w:val="20"/>
          <w:szCs w:val="20"/>
        </w:rPr>
        <w:t xml:space="preserve">Realistic framing for a bank evaluating this platform: day-to-day administration — adding a field, changing a mandatory rule, adjusting a committee threshold, modifying a workflow stage — is low-code and self-service. Connecting to a new system, or a request that genuinely requires new computation logic, is a scoped development engagement, same as it would be with any platform. The goal is to shrink that second category to the rare cases, not to claim it doesn't exist.</w:t>
      </w:r>
    </w:p>
    <w:p>
      <w:pPr>
        <w:pStyle w:val="Heading1"/>
        <w:pageBreakBefore/>
        <w:spacing w:after="200" w:before="400"/>
      </w:pPr>
      <w:r>
        <w:rPr>
          <w:b/>
          <w:bCs/>
          <w:color w:val="1F3864"/>
          <w:sz w:val="32"/>
          <w:szCs w:val="32"/>
        </w:rPr>
        <w:t xml:space="preserve">21. AI-Enabled Advisory Chat (Conversational Insights)</w:t>
      </w:r>
    </w:p>
    <w:p>
      <w:pPr>
        <w:spacing w:after="160"/>
      </w:pPr>
      <w:r>
        <w:rPr>
          <w:sz w:val="21"/>
          <w:szCs w:val="21"/>
        </w:rPr>
        <w:t xml:space="preserve">A conversational, natural-language interface over the platform's OWN data — facilities, collateral, covenants, exposure, financial analysis, ESG scores — letting a user ask a question in plain language and get an answer grounded in actual records, instead of building a report or running a filtered search. This is advisory, not autonomous: it surfaces insight for a human to act on, and never takes a credit action itself (Section 21.4).</w:t>
      </w:r>
    </w:p>
    <w:p>
      <w:pPr>
        <w:pStyle w:val="Heading2"/>
        <w:keepNext/>
        <w:spacing w:after="140" w:before="320"/>
      </w:pPr>
      <w:r>
        <w:rPr>
          <w:b/>
          <w:bCs/>
          <w:color w:val="2E5496"/>
          <w:sz w:val="26"/>
          <w:szCs w:val="26"/>
        </w:rPr>
        <w:t xml:space="preserve">21.1 Capability Categories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1F3864" w:val="clear"/>
            <w:tcMar>
              <w:top w:type="dxa" w:w="60"/>
              <w:left w:type="dxa" w:w="80"/>
              <w:bottom w:type="dxa" w:w="60"/>
              <w:right w:type="dxa" w:w="80"/>
            </w:tcMar>
          </w:tcPr>
          <w:p>
            <w:r>
              <w:rPr>
                <w:b/>
                <w:bCs/>
                <w:color w:val="FFFFFF"/>
                <w:sz w:val="19"/>
                <w:szCs w:val="19"/>
              </w:rPr>
              <w:t xml:space="preserve">Category</w:t>
            </w:r>
          </w:p>
        </w:tc>
        <w:tc>
          <w:tcPr>
            <w:tcW w:type="dxa" w:w="6400"/>
            <w:shd w:fill="1F3864" w:val="clear"/>
            <w:tcMar>
              <w:top w:type="dxa" w:w="60"/>
              <w:left w:type="dxa" w:w="80"/>
              <w:bottom w:type="dxa" w:w="60"/>
              <w:right w:type="dxa" w:w="80"/>
            </w:tcMar>
          </w:tcPr>
          <w:p>
            <w:r>
              <w:rPr>
                <w:b/>
                <w:bCs/>
                <w:color w:val="FFFFFF"/>
                <w:sz w:val="19"/>
                <w:szCs w:val="19"/>
              </w:rPr>
              <w:t xml:space="preserve">Example Questions</w:t>
            </w:r>
          </w:p>
        </w:tc>
      </w:tr>
      <w:tr>
        <w:tc>
          <w:tcPr>
            <w:tcW w:type="dxa" w:w="2600"/>
            <w:shd w:fill="FFFFFF" w:val="clear"/>
            <w:tcMar>
              <w:top w:type="dxa" w:w="60"/>
              <w:left w:type="dxa" w:w="80"/>
              <w:bottom w:type="dxa" w:w="60"/>
              <w:right w:type="dxa" w:w="80"/>
            </w:tcMar>
          </w:tcPr>
          <w:p>
            <w:r>
              <w:rPr>
                <w:sz w:val="19"/>
                <w:szCs w:val="19"/>
              </w:rPr>
              <w:t xml:space="preserve">Portfolio Insight</w:t>
            </w:r>
          </w:p>
        </w:tc>
        <w:tc>
          <w:tcPr>
            <w:tcW w:type="dxa" w:w="6400"/>
            <w:shd w:fill="FFFFFF" w:val="clear"/>
            <w:tcMar>
              <w:top w:type="dxa" w:w="60"/>
              <w:left w:type="dxa" w:w="80"/>
              <w:bottom w:type="dxa" w:w="60"/>
              <w:right w:type="dxa" w:w="80"/>
            </w:tcMar>
          </w:tcPr>
          <w:p>
            <w:pPr>
              <w:pStyle w:val="ListParagraph"/>
              <w:numPr>
                <w:ilvl w:val="0"/>
                <w:numId w:val="1"/>
              </w:numPr>
              <w:spacing w:after="30"/>
            </w:pPr>
            <w:r>
              <w:rPr>
                <w:sz w:val="19"/>
                <w:szCs w:val="19"/>
              </w:rPr>
              <w:t xml:space="preserve">“What's our exposure concentration by sector this quarter?”</w:t>
            </w:r>
          </w:p>
          <w:p>
            <w:pPr>
              <w:pStyle w:val="ListParagraph"/>
              <w:numPr>
                <w:ilvl w:val="0"/>
                <w:numId w:val="1"/>
              </w:numPr>
              <w:spacing w:after="30"/>
            </w:pPr>
            <w:r>
              <w:rPr>
                <w:sz w:val="19"/>
                <w:szCs w:val="19"/>
              </w:rPr>
              <w:t xml:space="preserve">“Which facility type has grown fastest in the last 6 months?”</w:t>
            </w:r>
          </w:p>
        </w:tc>
      </w:tr>
      <w:tr>
        <w:tc>
          <w:tcPr>
            <w:tcW w:type="dxa" w:w="2600"/>
            <w:shd w:fill="DCE6F1" w:val="clear"/>
            <w:tcMar>
              <w:top w:type="dxa" w:w="60"/>
              <w:left w:type="dxa" w:w="80"/>
              <w:bottom w:type="dxa" w:w="60"/>
              <w:right w:type="dxa" w:w="80"/>
            </w:tcMar>
          </w:tcPr>
          <w:p>
            <w:r>
              <w:rPr>
                <w:sz w:val="19"/>
                <w:szCs w:val="19"/>
              </w:rPr>
              <w:t xml:space="preserve">Risk / Early-Warning</w:t>
            </w:r>
          </w:p>
        </w:tc>
        <w:tc>
          <w:tcPr>
            <w:tcW w:type="dxa" w:w="6400"/>
            <w:shd w:fill="DCE6F1" w:val="clear"/>
            <w:tcMar>
              <w:top w:type="dxa" w:w="60"/>
              <w:left w:type="dxa" w:w="80"/>
              <w:bottom w:type="dxa" w:w="60"/>
              <w:right w:type="dxa" w:w="80"/>
            </w:tcMar>
          </w:tcPr>
          <w:p>
            <w:pPr>
              <w:pStyle w:val="ListParagraph"/>
              <w:numPr>
                <w:ilvl w:val="0"/>
                <w:numId w:val="1"/>
              </w:numPr>
              <w:spacing w:after="30"/>
            </w:pPr>
            <w:r>
              <w:rPr>
                <w:sz w:val="19"/>
                <w:szCs w:val="19"/>
              </w:rPr>
              <w:t xml:space="preserve">“Which facilities have Actual Coverage Ratio below Minimum Contractual right now?”</w:t>
            </w:r>
          </w:p>
          <w:p>
            <w:pPr>
              <w:pStyle w:val="ListParagraph"/>
              <w:numPr>
                <w:ilvl w:val="0"/>
                <w:numId w:val="1"/>
              </w:numPr>
              <w:spacing w:after="30"/>
            </w:pPr>
            <w:r>
              <w:rPr>
                <w:sz w:val="19"/>
                <w:szCs w:val="19"/>
              </w:rPr>
              <w:t xml:space="preserve">“Which covenants are due for review in the next 30 days?”</w:t>
            </w:r>
          </w:p>
          <w:p>
            <w:pPr>
              <w:pStyle w:val="ListParagraph"/>
              <w:numPr>
                <w:ilvl w:val="0"/>
                <w:numId w:val="1"/>
              </w:numPr>
              <w:spacing w:after="30"/>
            </w:pPr>
            <w:r>
              <w:rPr>
                <w:sz w:val="19"/>
                <w:szCs w:val="19"/>
              </w:rPr>
              <w:t xml:space="preserve">“Flag any customer with 3+ consecutive Extension requests on the same facility”</w:t>
            </w:r>
          </w:p>
        </w:tc>
      </w:tr>
      <w:tr>
        <w:tc>
          <w:tcPr>
            <w:tcW w:type="dxa" w:w="2600"/>
            <w:shd w:fill="FFFFFF" w:val="clear"/>
            <w:tcMar>
              <w:top w:type="dxa" w:w="60"/>
              <w:left w:type="dxa" w:w="80"/>
              <w:bottom w:type="dxa" w:w="60"/>
              <w:right w:type="dxa" w:w="80"/>
            </w:tcMar>
          </w:tcPr>
          <w:p>
            <w:r>
              <w:rPr>
                <w:sz w:val="19"/>
                <w:szCs w:val="19"/>
              </w:rPr>
              <w:t xml:space="preserve">Relationship / Profitability</w:t>
            </w:r>
          </w:p>
        </w:tc>
        <w:tc>
          <w:tcPr>
            <w:tcW w:type="dxa" w:w="6400"/>
            <w:shd w:fill="FFFFFF" w:val="clear"/>
            <w:tcMar>
              <w:top w:type="dxa" w:w="60"/>
              <w:left w:type="dxa" w:w="80"/>
              <w:bottom w:type="dxa" w:w="60"/>
              <w:right w:type="dxa" w:w="80"/>
            </w:tcMar>
          </w:tcPr>
          <w:p>
            <w:pPr>
              <w:pStyle w:val="ListParagraph"/>
              <w:numPr>
                <w:ilvl w:val="0"/>
                <w:numId w:val="1"/>
              </w:numPr>
              <w:spacing w:after="30"/>
            </w:pPr>
            <w:r>
              <w:rPr>
                <w:sz w:val="19"/>
                <w:szCs w:val="19"/>
              </w:rPr>
              <w:t xml:space="preserve">“Show the Weighted Group RAROC trend for this borrower group over their last 3 Credit Requests”</w:t>
            </w:r>
          </w:p>
          <w:p>
            <w:pPr>
              <w:pStyle w:val="ListParagraph"/>
              <w:numPr>
                <w:ilvl w:val="0"/>
                <w:numId w:val="1"/>
              </w:numPr>
              <w:spacing w:after="30"/>
            </w:pPr>
            <w:r>
              <w:rPr>
                <w:sz w:val="19"/>
                <w:szCs w:val="19"/>
              </w:rPr>
              <w:t xml:space="preserve">“Which relationships are below our RAROC hurdle rate?”</w:t>
            </w:r>
          </w:p>
        </w:tc>
      </w:tr>
      <w:tr>
        <w:tc>
          <w:tcPr>
            <w:tcW w:type="dxa" w:w="2600"/>
            <w:shd w:fill="DCE6F1" w:val="clear"/>
            <w:tcMar>
              <w:top w:type="dxa" w:w="60"/>
              <w:left w:type="dxa" w:w="80"/>
              <w:bottom w:type="dxa" w:w="60"/>
              <w:right w:type="dxa" w:w="80"/>
            </w:tcMar>
          </w:tcPr>
          <w:p>
            <w:r>
              <w:rPr>
                <w:sz w:val="19"/>
                <w:szCs w:val="19"/>
              </w:rPr>
              <w:t xml:space="preserve">Case-Specific</w:t>
            </w:r>
          </w:p>
        </w:tc>
        <w:tc>
          <w:tcPr>
            <w:tcW w:type="dxa" w:w="6400"/>
            <w:shd w:fill="DCE6F1" w:val="clear"/>
            <w:tcMar>
              <w:top w:type="dxa" w:w="60"/>
              <w:left w:type="dxa" w:w="80"/>
              <w:bottom w:type="dxa" w:w="60"/>
              <w:right w:type="dxa" w:w="80"/>
            </w:tcMar>
          </w:tcPr>
          <w:p>
            <w:pPr>
              <w:pStyle w:val="ListParagraph"/>
              <w:numPr>
                <w:ilvl w:val="0"/>
                <w:numId w:val="1"/>
              </w:numPr>
              <w:spacing w:after="30"/>
            </w:pPr>
            <w:r>
              <w:rPr>
                <w:sz w:val="19"/>
                <w:szCs w:val="19"/>
              </w:rPr>
              <w:t xml:space="preserve">“What changed in this Credit Request compared to the borrower's last renewal?”</w:t>
            </w:r>
          </w:p>
          <w:p>
            <w:pPr>
              <w:pStyle w:val="ListParagraph"/>
              <w:numPr>
                <w:ilvl w:val="0"/>
                <w:numId w:val="1"/>
              </w:numPr>
              <w:spacing w:after="30"/>
            </w:pPr>
            <w:r>
              <w:rPr>
                <w:sz w:val="19"/>
                <w:szCs w:val="19"/>
              </w:rPr>
              <w:t xml:space="preserve">“Summarize this borrower's credit history and current flags”</w:t>
            </w:r>
          </w:p>
        </w:tc>
      </w:tr>
      <w:tr>
        <w:tc>
          <w:tcPr>
            <w:tcW w:type="dxa" w:w="2600"/>
            <w:shd w:fill="FFFFFF" w:val="clear"/>
            <w:tcMar>
              <w:top w:type="dxa" w:w="60"/>
              <w:left w:type="dxa" w:w="80"/>
              <w:bottom w:type="dxa" w:w="60"/>
              <w:right w:type="dxa" w:w="80"/>
            </w:tcMar>
          </w:tcPr>
          <w:p>
            <w:r>
              <w:rPr>
                <w:sz w:val="19"/>
                <w:szCs w:val="19"/>
              </w:rPr>
              <w:t xml:space="preserve">Comparative / Benchmarking</w:t>
            </w:r>
          </w:p>
        </w:tc>
        <w:tc>
          <w:tcPr>
            <w:tcW w:type="dxa" w:w="6400"/>
            <w:shd w:fill="FFFFFF" w:val="clear"/>
            <w:tcMar>
              <w:top w:type="dxa" w:w="60"/>
              <w:left w:type="dxa" w:w="80"/>
              <w:bottom w:type="dxa" w:w="60"/>
              <w:right w:type="dxa" w:w="80"/>
            </w:tcMar>
          </w:tcPr>
          <w:p>
            <w:pPr>
              <w:pStyle w:val="ListParagraph"/>
              <w:numPr>
                <w:ilvl w:val="0"/>
                <w:numId w:val="1"/>
              </w:numPr>
              <w:spacing w:after="30"/>
            </w:pPr>
            <w:r>
              <w:rPr>
                <w:sz w:val="19"/>
                <w:szCs w:val="19"/>
              </w:rPr>
              <w:t xml:space="preserve">“How does this facility's pricing compare to similar facilities in the same sector?”</w:t>
            </w:r>
          </w:p>
        </w:tc>
      </w:tr>
    </w:tbl>
    <w:p>
      <w:pPr>
        <w:spacing w:after="160"/>
        <w:ind w:left="360"/>
      </w:pPr>
      <w:r>
        <w:rPr>
          <w:i/>
          <w:iCs/>
          <w:color w:val="595959"/>
          <w:sz w:val="20"/>
          <w:szCs w:val="20"/>
        </w:rPr>
        <w:t xml:space="preserve">The Risk/Early-Warning category directly operationalizes two gaps this engagement found in the reference system: a coverage shortfall with no system flag, and a covenant breach with no automatic escalation. The chat doesn't just answer when asked — paired with the Section 19.2 rules engine, the same underlying query can also run on a schedule and push a proactive alert, turning an advisory question into an early-warning system.</w:t>
      </w:r>
    </w:p>
    <w:p>
      <w:pPr>
        <w:pStyle w:val="Heading2"/>
        <w:keepNext/>
        <w:spacing w:after="140" w:before="320"/>
      </w:pPr>
      <w:r>
        <w:rPr>
          <w:b/>
          <w:bCs/>
          <w:color w:val="2E5496"/>
          <w:sz w:val="26"/>
          <w:szCs w:val="26"/>
        </w:rPr>
        <w:t xml:space="preserve">21.2 Architecture</w:t>
      </w:r>
    </w:p>
    <w:p>
      <w:pPr>
        <w:pStyle w:val="ListParagraph"/>
        <w:numPr>
          <w:ilvl w:val="0"/>
          <w:numId w:val="2"/>
        </w:numPr>
        <w:spacing w:after="80"/>
      </w:pPr>
      <w:r>
        <w:rPr>
          <w:sz w:val="21"/>
          <w:szCs w:val="21"/>
        </w:rPr>
        <w:t xml:space="preserve">Grounded directly on the Field Registry (Section 19.1), not a generic document search — the system translates a natural-language question into a structured query against known fields, which means it automatically understands any tenant's own custom fields too, since it reads metadata rather than a hardcoded schema.</w:t>
      </w:r>
    </w:p>
    <w:p>
      <w:pPr>
        <w:pStyle w:val="ListParagraph"/>
        <w:numPr>
          <w:ilvl w:val="0"/>
          <w:numId w:val="2"/>
        </w:numPr>
        <w:spacing w:after="80"/>
      </w:pPr>
      <w:r>
        <w:rPr>
          <w:sz w:val="21"/>
          <w:szCs w:val="21"/>
        </w:rPr>
        <w:t xml:space="preserve">A retrieval layer for free-text content (Comments fields, uploaded documents, financial statement narratives) supplements the structured query for questions that need unstructured context.</w:t>
      </w:r>
    </w:p>
    <w:p>
      <w:pPr>
        <w:pStyle w:val="ListParagraph"/>
        <w:numPr>
          <w:ilvl w:val="0"/>
          <w:numId w:val="2"/>
        </w:numPr>
        <w:spacing w:after="80"/>
      </w:pPr>
      <w:r>
        <w:rPr>
          <w:sz w:val="21"/>
          <w:szCs w:val="21"/>
        </w:rPr>
        <w:t xml:space="preserve">Every answer is synthesized with an explicit citation back to the specific record, field, and Credit Request it was drawn from — no unsourced claims, the same discipline this engagement applied to its own findings throughout.</w:t>
      </w:r>
    </w:p>
    <w:p>
      <w:pPr>
        <w:pStyle w:val="Heading2"/>
        <w:keepNext/>
        <w:spacing w:after="140" w:before="320"/>
      </w:pPr>
      <w:r>
        <w:rPr>
          <w:b/>
          <w:bCs/>
          <w:color w:val="2E5496"/>
          <w:sz w:val="26"/>
          <w:szCs w:val="26"/>
        </w:rPr>
        <w:t xml:space="preserve">21.3 Governance Guardrails (Non-Negotiable in a Credit Context)</w:t>
      </w:r>
    </w:p>
    <w:p>
      <w:pPr>
        <w:pStyle w:val="ListParagraph"/>
        <w:numPr>
          <w:ilvl w:val="0"/>
          <w:numId w:val="2"/>
        </w:numPr>
        <w:spacing w:after="80"/>
      </w:pPr>
      <w:r>
        <w:rPr>
          <w:sz w:val="21"/>
          <w:szCs w:val="21"/>
        </w:rPr>
        <w:t xml:space="preserve">Read-only and advisory only — the chat can never initiate, approve, modify, or submit a credit transaction. It answers questions; a human with the appropriate role takes any resulting action through the normal workflow (Section 19.3).</w:t>
      </w:r>
    </w:p>
    <w:p>
      <w:pPr>
        <w:pStyle w:val="ListParagraph"/>
        <w:numPr>
          <w:ilvl w:val="0"/>
          <w:numId w:val="2"/>
        </w:numPr>
        <w:spacing w:after="80"/>
      </w:pPr>
      <w:r>
        <w:rPr>
          <w:sz w:val="21"/>
          <w:szCs w:val="21"/>
        </w:rPr>
        <w:t xml:space="preserve">Strict RBAC inheritance — the chat can only surface data the asking user is already entitled to see under the platform's existing field-level access control (Section 12). It is a new way to query data, never a new way to access it.</w:t>
      </w:r>
    </w:p>
    <w:p>
      <w:pPr>
        <w:pStyle w:val="ListParagraph"/>
        <w:numPr>
          <w:ilvl w:val="0"/>
          <w:numId w:val="2"/>
        </w:numPr>
        <w:spacing w:after="80"/>
      </w:pPr>
      <w:r>
        <w:rPr>
          <w:sz w:val="21"/>
          <w:szCs w:val="21"/>
        </w:rPr>
        <w:t xml:space="preserve">Mandatory citation on every answer — a response that can't be traced to a specific source record is not shown.</w:t>
      </w:r>
    </w:p>
    <w:p>
      <w:pPr>
        <w:pStyle w:val="ListParagraph"/>
        <w:numPr>
          <w:ilvl w:val="0"/>
          <w:numId w:val="2"/>
        </w:numPr>
        <w:spacing w:after="80"/>
      </w:pPr>
      <w:r>
        <w:rPr>
          <w:sz w:val="21"/>
          <w:szCs w:val="21"/>
        </w:rPr>
        <w:t xml:space="preserve">Human-in-the-loop by design — outputs are explicitly labeled advisory in the UI; final credit decisions and any escalation remain with the authorized human roles and committees defined in Sections 2.2 and 3.3.</w:t>
      </w:r>
    </w:p>
    <w:p>
      <w:pPr>
        <w:pStyle w:val="ListParagraph"/>
        <w:numPr>
          <w:ilvl w:val="0"/>
          <w:numId w:val="2"/>
        </w:numPr>
        <w:spacing w:after="80"/>
      </w:pPr>
      <w:r>
        <w:rPr>
          <w:sz w:val="21"/>
          <w:szCs w:val="21"/>
        </w:rPr>
        <w:t xml:space="preserve">Full audit log of every query and every answer, for the same compliance reasons as every other action on the platform (Section 12).</w:t>
      </w:r>
    </w:p>
    <w:p>
      <w:pPr>
        <w:spacing w:after="160"/>
        <w:ind w:left="360"/>
      </w:pPr>
      <w:r>
        <w:rPr>
          <w:i/>
          <w:iCs/>
          <w:color w:val="595959"/>
          <w:sz w:val="20"/>
          <w:szCs w:val="20"/>
        </w:rPr>
        <w:t xml:space="preserve">Phased rollout: Phase 1 ships read-only conversational Q&amp;A over existing data. Phase 2 (building on the same grounding) adds AI-assisted financial spreading and credit memo drafting — still advisory, still human-reviewed before anything enters the formal record.</w:t>
      </w:r>
    </w:p>
    <w:p>
      <w:pPr>
        <w:pStyle w:val="Heading1"/>
        <w:pageBreakBefore/>
        <w:spacing w:after="200" w:before="400"/>
      </w:pPr>
      <w:r>
        <w:rPr>
          <w:b/>
          <w:bCs/>
          <w:color w:val="1F3864"/>
          <w:sz w:val="32"/>
          <w:szCs w:val="32"/>
        </w:rPr>
        <w:t xml:space="preserve">22. User Management &amp; Identity Integration</w:t>
      </w:r>
    </w:p>
    <w:p>
      <w:pPr>
        <w:spacing w:after="160"/>
      </w:pPr>
      <w:r>
        <w:rPr>
          <w:sz w:val="21"/>
          <w:szCs w:val="21"/>
        </w:rPr>
        <w:t xml:space="preserve">A banking platform never manages its own user directory as the primary source of truth — it integrates with the client's existing enterprise identity infrastructure. This section covers user lifecycle, authentication, and the standard protocols that make that integration a configuration exercise (Section 18.7) rather than a bespoke build for every client.</w:t>
      </w:r>
    </w:p>
    <w:p>
      <w:pPr>
        <w:pStyle w:val="Heading2"/>
        <w:keepNext/>
        <w:spacing w:after="140" w:before="320"/>
      </w:pPr>
      <w:r>
        <w:rPr>
          <w:b/>
          <w:bCs/>
          <w:color w:val="2E5496"/>
          <w:sz w:val="26"/>
          <w:szCs w:val="26"/>
        </w:rPr>
        <w:t xml:space="preserve">22.1 User Lifecycle Management</w:t>
      </w:r>
    </w:p>
    <w:p>
      <w:pPr>
        <w:pStyle w:val="ListParagraph"/>
        <w:numPr>
          <w:ilvl w:val="0"/>
          <w:numId w:val="2"/>
        </w:numPr>
        <w:spacing w:after="80"/>
      </w:pPr>
      <w:r>
        <w:rPr>
          <w:sz w:val="21"/>
          <w:szCs w:val="21"/>
        </w:rPr>
        <w:t xml:space="preserve">Admin-provisioned only — unlike a consumer product, there is no self-registration. Users are created by a Configuration Admin (Section 19.4) or synced automatically from the client's identity provider (Section 22.3).</w:t>
      </w:r>
    </w:p>
    <w:p>
      <w:pPr>
        <w:pStyle w:val="ListParagraph"/>
        <w:numPr>
          <w:ilvl w:val="0"/>
          <w:numId w:val="2"/>
        </w:numPr>
        <w:spacing w:after="80"/>
      </w:pPr>
      <w:r>
        <w:rPr>
          <w:sz w:val="21"/>
          <w:szCs w:val="21"/>
        </w:rPr>
        <w:t xml:space="preserve">User status: Active / Inactive / Suspended, independent of role assignment — suspending access doesn't require removing role history.</w:t>
      </w:r>
    </w:p>
    <w:p>
      <w:pPr>
        <w:pStyle w:val="ListParagraph"/>
        <w:numPr>
          <w:ilvl w:val="0"/>
          <w:numId w:val="2"/>
        </w:numPr>
        <w:spacing w:after="80"/>
      </w:pPr>
      <w:r>
        <w:rPr>
          <w:sz w:val="21"/>
          <w:szCs w:val="21"/>
        </w:rPr>
        <w:t xml:space="preserve">Role assignment ties directly to the Role &amp; Permission Manager (Section 20.4) and the generic role set (Section 2.2); a user can hold multiple roles.</w:t>
      </w:r>
    </w:p>
    <w:p>
      <w:pPr>
        <w:pStyle w:val="ListParagraph"/>
        <w:numPr>
          <w:ilvl w:val="0"/>
          <w:numId w:val="2"/>
        </w:numPr>
        <w:spacing w:after="80"/>
      </w:pPr>
      <w:r>
        <w:rPr>
          <w:sz w:val="21"/>
          <w:szCs w:val="21"/>
        </w:rPr>
        <w:t xml:space="preserve">Task delegation with audit trail — a user can temporarily delegate their pending approvals to another authorized user, with the delegation period, delegator, delegate, and every action taken under it fully logged. This resolves an item the reference engagement's own business team raised and left unresolved (an explicit request for ‘authorization to access other user tasks... grab a pending approval task of another user’, with the vendor's own response asking whether this existed “out of the box”) — it is addressed here directly as a first-class capability, not an afterthought.</w:t>
      </w:r>
    </w:p>
    <w:p>
      <w:pPr>
        <w:pStyle w:val="Heading2"/>
        <w:keepNext/>
        <w:spacing w:after="140" w:before="320"/>
      </w:pPr>
      <w:r>
        <w:rPr>
          <w:b/>
          <w:bCs/>
          <w:color w:val="2E5496"/>
          <w:sz w:val="26"/>
          <w:szCs w:val="26"/>
        </w:rPr>
        <w:t xml:space="preserve">22.2 Authentication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200"/>
      </w:tblGrid>
      <w:tr>
        <w:trPr>
          <w:tblHeader/>
        </w:trPr>
        <w:tc>
          <w:tcPr>
            <w:tcW w:type="dxa" w:w="2800"/>
            <w:shd w:fill="1F3864" w:val="clear"/>
            <w:tcMar>
              <w:top w:type="dxa" w:w="60"/>
              <w:left w:type="dxa" w:w="80"/>
              <w:bottom w:type="dxa" w:w="60"/>
              <w:right w:type="dxa" w:w="80"/>
            </w:tcMar>
          </w:tcPr>
          <w:p>
            <w:r>
              <w:rPr>
                <w:b/>
                <w:bCs/>
                <w:color w:val="FFFFFF"/>
                <w:sz w:val="19"/>
                <w:szCs w:val="19"/>
              </w:rPr>
              <w:t xml:space="preserve">Mechanism</w:t>
            </w:r>
          </w:p>
        </w:tc>
        <w:tc>
          <w:tcPr>
            <w:tcW w:type="dxa" w:w="3400"/>
            <w:shd w:fill="1F3864" w:val="clear"/>
            <w:tcMar>
              <w:top w:type="dxa" w:w="60"/>
              <w:left w:type="dxa" w:w="80"/>
              <w:bottom w:type="dxa" w:w="60"/>
              <w:right w:type="dxa" w:w="80"/>
            </w:tcMar>
          </w:tcPr>
          <w:p>
            <w:r>
              <w:rPr>
                <w:b/>
                <w:bCs/>
                <w:color w:val="FFFFFF"/>
                <w:sz w:val="19"/>
                <w:szCs w:val="19"/>
              </w:rPr>
              <w:t xml:space="preserve">Standard Protocol</w:t>
            </w:r>
          </w:p>
        </w:tc>
        <w:tc>
          <w:tcPr>
            <w:tcW w:type="dxa" w:w="3200"/>
            <w:shd w:fill="1F3864" w:val="clear"/>
            <w:tcMar>
              <w:top w:type="dxa" w:w="60"/>
              <w:left w:type="dxa" w:w="80"/>
              <w:bottom w:type="dxa" w:w="60"/>
              <w:right w:type="dxa" w:w="80"/>
            </w:tcMar>
          </w:tcPr>
          <w:p>
            <w:r>
              <w:rPr>
                <w:b/>
                <w:bCs/>
                <w:color w:val="FFFFFF"/>
                <w:sz w:val="19"/>
                <w:szCs w:val="19"/>
              </w:rPr>
              <w:t xml:space="preserve">Typical Use</w:t>
            </w:r>
          </w:p>
        </w:tc>
      </w:tr>
      <w:tr>
        <w:tc>
          <w:tcPr>
            <w:tcW w:type="dxa" w:w="2800"/>
            <w:shd w:fill="FFFFFF" w:val="clear"/>
            <w:tcMar>
              <w:top w:type="dxa" w:w="60"/>
              <w:left w:type="dxa" w:w="80"/>
              <w:bottom w:type="dxa" w:w="60"/>
              <w:right w:type="dxa" w:w="80"/>
            </w:tcMar>
          </w:tcPr>
          <w:p>
            <w:r>
              <w:rPr>
                <w:sz w:val="19"/>
                <w:szCs w:val="19"/>
              </w:rPr>
              <w:t xml:space="preserve">Single Sign-On (cloud identity provider)</w:t>
            </w:r>
          </w:p>
        </w:tc>
        <w:tc>
          <w:tcPr>
            <w:tcW w:type="dxa" w:w="3400"/>
            <w:shd w:fill="FFFFFF" w:val="clear"/>
            <w:tcMar>
              <w:top w:type="dxa" w:w="60"/>
              <w:left w:type="dxa" w:w="80"/>
              <w:bottom w:type="dxa" w:w="60"/>
              <w:right w:type="dxa" w:w="80"/>
            </w:tcMar>
          </w:tcPr>
          <w:p>
            <w:r>
              <w:rPr>
                <w:sz w:val="19"/>
                <w:szCs w:val="19"/>
              </w:rPr>
              <w:t xml:space="preserve">SAML 2.0 or OpenID Connect (OIDC)</w:t>
            </w:r>
          </w:p>
        </w:tc>
        <w:tc>
          <w:tcPr>
            <w:tcW w:type="dxa" w:w="3200"/>
            <w:shd w:fill="FFFFFF" w:val="clear"/>
            <w:tcMar>
              <w:top w:type="dxa" w:w="60"/>
              <w:left w:type="dxa" w:w="80"/>
              <w:bottom w:type="dxa" w:w="60"/>
              <w:right w:type="dxa" w:w="80"/>
            </w:tcMar>
          </w:tcPr>
          <w:p>
            <w:r>
              <w:rPr>
                <w:sz w:val="19"/>
                <w:szCs w:val="19"/>
              </w:rPr>
              <w:t xml:space="preserve">Azure AD/Entra ID, Okta, PingFederate, or any compliant IdP</w:t>
            </w:r>
          </w:p>
        </w:tc>
      </w:tr>
      <w:tr>
        <w:tc>
          <w:tcPr>
            <w:tcW w:type="dxa" w:w="2800"/>
            <w:shd w:fill="DCE6F1" w:val="clear"/>
            <w:tcMar>
              <w:top w:type="dxa" w:w="60"/>
              <w:left w:type="dxa" w:w="80"/>
              <w:bottom w:type="dxa" w:w="60"/>
              <w:right w:type="dxa" w:w="80"/>
            </w:tcMar>
          </w:tcPr>
          <w:p>
            <w:r>
              <w:rPr>
                <w:sz w:val="19"/>
                <w:szCs w:val="19"/>
              </w:rPr>
              <w:t xml:space="preserve">On-premise directory</w:t>
            </w:r>
          </w:p>
        </w:tc>
        <w:tc>
          <w:tcPr>
            <w:tcW w:type="dxa" w:w="3400"/>
            <w:shd w:fill="DCE6F1" w:val="clear"/>
            <w:tcMar>
              <w:top w:type="dxa" w:w="60"/>
              <w:left w:type="dxa" w:w="80"/>
              <w:bottom w:type="dxa" w:w="60"/>
              <w:right w:type="dxa" w:w="80"/>
            </w:tcMar>
          </w:tcPr>
          <w:p>
            <w:r>
              <w:rPr>
                <w:sz w:val="19"/>
                <w:szCs w:val="19"/>
              </w:rPr>
              <w:t xml:space="preserve">LDAP v3 (often paired with Kerberos)</w:t>
            </w:r>
          </w:p>
        </w:tc>
        <w:tc>
          <w:tcPr>
            <w:tcW w:type="dxa" w:w="3200"/>
            <w:shd w:fill="DCE6F1" w:val="clear"/>
            <w:tcMar>
              <w:top w:type="dxa" w:w="60"/>
              <w:left w:type="dxa" w:w="80"/>
              <w:bottom w:type="dxa" w:w="60"/>
              <w:right w:type="dxa" w:w="80"/>
            </w:tcMar>
          </w:tcPr>
          <w:p>
            <w:r>
              <w:rPr>
                <w:sz w:val="19"/>
                <w:szCs w:val="19"/>
              </w:rPr>
              <w:t xml:space="preserve">Traditional on-prem Active Directory</w:t>
            </w:r>
          </w:p>
        </w:tc>
      </w:tr>
      <w:tr>
        <w:tc>
          <w:tcPr>
            <w:tcW w:type="dxa" w:w="2800"/>
            <w:shd w:fill="FFFFFF" w:val="clear"/>
            <w:tcMar>
              <w:top w:type="dxa" w:w="60"/>
              <w:left w:type="dxa" w:w="80"/>
              <w:bottom w:type="dxa" w:w="60"/>
              <w:right w:type="dxa" w:w="80"/>
            </w:tcMar>
          </w:tcPr>
          <w:p>
            <w:r>
              <w:rPr>
                <w:sz w:val="19"/>
                <w:szCs w:val="19"/>
              </w:rPr>
              <w:t xml:space="preserve">Multi-Factor Authentication (MFA)</w:t>
            </w:r>
          </w:p>
        </w:tc>
        <w:tc>
          <w:tcPr>
            <w:tcW w:type="dxa" w:w="3400"/>
            <w:shd w:fill="FFFFFF" w:val="clear"/>
            <w:tcMar>
              <w:top w:type="dxa" w:w="60"/>
              <w:left w:type="dxa" w:w="80"/>
              <w:bottom w:type="dxa" w:w="60"/>
              <w:right w:type="dxa" w:w="80"/>
            </w:tcMar>
          </w:tcPr>
          <w:p>
            <w:r>
              <w:rPr>
                <w:sz w:val="19"/>
                <w:szCs w:val="19"/>
              </w:rPr>
              <w:t xml:space="preserve">Delegated to the Identity Provider (TOTP, push, hardware key)</w:t>
            </w:r>
          </w:p>
        </w:tc>
        <w:tc>
          <w:tcPr>
            <w:tcW w:type="dxa" w:w="3200"/>
            <w:shd w:fill="FFFFFF" w:val="clear"/>
            <w:tcMar>
              <w:top w:type="dxa" w:w="60"/>
              <w:left w:type="dxa" w:w="80"/>
              <w:bottom w:type="dxa" w:w="60"/>
              <w:right w:type="dxa" w:w="80"/>
            </w:tcMar>
          </w:tcPr>
          <w:p>
            <w:r>
              <w:rPr>
                <w:sz w:val="19"/>
                <w:szCs w:val="19"/>
              </w:rPr>
              <w:t xml:space="preserve">Typically regulator-mandated for banking — the platform enforces the requirement, the IdP performs the actual challenge</w:t>
            </w:r>
          </w:p>
        </w:tc>
      </w:tr>
      <w:tr>
        <w:tc>
          <w:tcPr>
            <w:tcW w:type="dxa" w:w="2800"/>
            <w:shd w:fill="DCE6F1" w:val="clear"/>
            <w:tcMar>
              <w:top w:type="dxa" w:w="60"/>
              <w:left w:type="dxa" w:w="80"/>
              <w:bottom w:type="dxa" w:w="60"/>
              <w:right w:type="dxa" w:w="80"/>
            </w:tcMar>
          </w:tcPr>
          <w:p>
            <w:r>
              <w:rPr>
                <w:sz w:val="19"/>
                <w:szCs w:val="19"/>
              </w:rPr>
              <w:t xml:space="preserve">Local account fallback (optional)</w:t>
            </w:r>
          </w:p>
        </w:tc>
        <w:tc>
          <w:tcPr>
            <w:tcW w:type="dxa" w:w="3400"/>
            <w:shd w:fill="DCE6F1" w:val="clear"/>
            <w:tcMar>
              <w:top w:type="dxa" w:w="60"/>
              <w:left w:type="dxa" w:w="80"/>
              <w:bottom w:type="dxa" w:w="60"/>
              <w:right w:type="dxa" w:w="80"/>
            </w:tcMar>
          </w:tcPr>
          <w:p>
            <w:r>
              <w:rPr>
                <w:sz w:val="19"/>
                <w:szCs w:val="19"/>
              </w:rPr>
              <w:t xml:space="preserve">Standard password policy (complexity, rotation, lockout)</w:t>
            </w:r>
          </w:p>
        </w:tc>
        <w:tc>
          <w:tcPr>
            <w:tcW w:type="dxa" w:w="3200"/>
            <w:shd w:fill="DCE6F1" w:val="clear"/>
            <w:tcMar>
              <w:top w:type="dxa" w:w="60"/>
              <w:left w:type="dxa" w:w="80"/>
              <w:bottom w:type="dxa" w:w="60"/>
              <w:right w:type="dxa" w:w="80"/>
            </w:tcMar>
          </w:tcPr>
          <w:p>
            <w:r>
              <w:rPr>
                <w:sz w:val="19"/>
                <w:szCs w:val="19"/>
              </w:rPr>
              <w:t xml:space="preserve">Only where no enterprise IdP exists — discouraged as the default for a banking client</w:t>
            </w:r>
          </w:p>
        </w:tc>
      </w:tr>
    </w:tbl>
    <w:p>
      <w:pPr>
        <w:spacing w:after="160"/>
        <w:ind w:left="360"/>
      </w:pPr>
      <w:r>
        <w:rPr>
          <w:i/>
          <w:iCs/>
          <w:color w:val="595959"/>
          <w:sz w:val="20"/>
          <w:szCs w:val="20"/>
        </w:rPr>
        <w:t xml:space="preserve">The platform authenticates; it does not reinvent identity verification. MFA, password policy, and credential storage are the Identity Provider's responsibility — the platform's job is to enforce that a valid, sufficiently-authenticated session exists before granting access.</w:t>
      </w:r>
    </w:p>
    <w:p>
      <w:pPr>
        <w:pStyle w:val="Heading2"/>
        <w:keepNext/>
        <w:spacing w:after="140" w:before="320"/>
      </w:pPr>
      <w:r>
        <w:rPr>
          <w:b/>
          <w:bCs/>
          <w:color w:val="2E5496"/>
          <w:sz w:val="26"/>
          <w:szCs w:val="26"/>
        </w:rPr>
        <w:t xml:space="preserve">22.3 Authorization, Directory Sync &amp; Provisioning</w:t>
      </w:r>
    </w:p>
    <w:p>
      <w:pPr>
        <w:pStyle w:val="ListParagraph"/>
        <w:numPr>
          <w:ilvl w:val="0"/>
          <w:numId w:val="2"/>
        </w:numPr>
        <w:spacing w:after="80"/>
      </w:pPr>
      <w:r>
        <w:rPr>
          <w:sz w:val="21"/>
          <w:szCs w:val="21"/>
        </w:rPr>
        <w:t xml:space="preserve">Identity Provider (IdP) Adapter (Section 11.1) handles the actual connection — Active Directory/LDAP, Azure AD/Entra ID, Okta, or any SAML/OIDC-compliant provider, behind the same adapter pattern as every other integration.</w:t>
      </w:r>
    </w:p>
    <w:p>
      <w:pPr>
        <w:pStyle w:val="ListParagraph"/>
        <w:numPr>
          <w:ilvl w:val="0"/>
          <w:numId w:val="2"/>
        </w:numPr>
        <w:spacing w:after="80"/>
      </w:pPr>
      <w:r>
        <w:rPr>
          <w:sz w:val="21"/>
          <w:szCs w:val="21"/>
        </w:rPr>
        <w:t xml:space="preserve">AD/IdP group or attribute → platform role mapping is a configuration table (Section 18.7), never hardcoded — e.g. an AD security group named differently at every bank maps to the generic ‘Credit Reviewer’ role.</w:t>
      </w:r>
    </w:p>
    <w:p>
      <w:pPr>
        <w:pStyle w:val="ListParagraph"/>
        <w:numPr>
          <w:ilvl w:val="0"/>
          <w:numId w:val="2"/>
        </w:numPr>
        <w:spacing w:after="80"/>
      </w:pPr>
      <w:r>
        <w:rPr>
          <w:sz w:val="21"/>
          <w:szCs w:val="21"/>
        </w:rPr>
        <w:t xml:space="preserve">SCIM 2.0 (System for Cross-domain Identity Management) for automated provisioning and deprovisioning — when a user is added, changed, or disabled in the client's directory, that change propagates to the platform automatically rather than through manual admin action.</w:t>
      </w:r>
    </w:p>
    <w:p>
      <w:pPr>
        <w:pStyle w:val="ListParagraph"/>
        <w:numPr>
          <w:ilvl w:val="0"/>
          <w:numId w:val="2"/>
        </w:numPr>
        <w:spacing w:after="80"/>
      </w:pPr>
      <w:r>
        <w:rPr>
          <w:sz w:val="21"/>
          <w:szCs w:val="21"/>
        </w:rPr>
        <w:t xml:space="preserve">Just-in-Time (JIT) provisioning as an alternative to SCIM for simpler deployments — a user's platform account and role are created automatically on their first successful SSO login, based on the group/attribute mapping above.</w:t>
      </w:r>
    </w:p>
    <w:p>
      <w:pPr>
        <w:pStyle w:val="Heading2"/>
        <w:keepNext/>
        <w:spacing w:after="140" w:before="320"/>
      </w:pPr>
      <w:r>
        <w:rPr>
          <w:b/>
          <w:bCs/>
          <w:color w:val="2E5496"/>
          <w:sz w:val="26"/>
          <w:szCs w:val="26"/>
        </w:rPr>
        <w:t xml:space="preserve">22.4 API &amp; System-to-System Access</w:t>
      </w:r>
    </w:p>
    <w:p>
      <w:pPr>
        <w:spacing w:after="160"/>
      </w:pPr>
      <w:r>
        <w:rPr>
          <w:sz w:val="21"/>
          <w:szCs w:val="21"/>
        </w:rPr>
        <w:t xml:space="preserve">Separate from human user authentication: system-to-system calls (e.g., an external reporting tool pulling data via API) use OAuth 2.0 client credentials flow with scoped, time-limited tokens — never a shared service account with a standing password.</w:t>
      </w:r>
    </w:p>
    <w:p>
      <w:pPr>
        <w:pStyle w:val="Heading2"/>
        <w:keepNext/>
        <w:spacing w:after="140" w:before="320"/>
      </w:pPr>
      <w:r>
        <w:rPr>
          <w:b/>
          <w:bCs/>
          <w:color w:val="2E5496"/>
          <w:sz w:val="26"/>
          <w:szCs w:val="26"/>
        </w:rPr>
        <w:t xml:space="preserve">22.5 Governance Tie-Back</w:t>
      </w:r>
    </w:p>
    <w:p>
      <w:pPr>
        <w:pStyle w:val="ListParagraph"/>
        <w:numPr>
          <w:ilvl w:val="0"/>
          <w:numId w:val="2"/>
        </w:numPr>
        <w:spacing w:after="80"/>
      </w:pPr>
      <w:r>
        <w:rPr>
          <w:sz w:val="21"/>
          <w:szCs w:val="21"/>
        </w:rPr>
        <w:t xml:space="preserve">Deprovisioning SLA (Section 18.7) — access revocation within a defined window of a termination event in the source directory; this is a standard banking audit requirement, not optional.</w:t>
      </w:r>
    </w:p>
    <w:p>
      <w:pPr>
        <w:pStyle w:val="ListParagraph"/>
        <w:numPr>
          <w:ilvl w:val="0"/>
          <w:numId w:val="2"/>
        </w:numPr>
        <w:spacing w:after="80"/>
      </w:pPr>
      <w:r>
        <w:rPr>
          <w:sz w:val="21"/>
          <w:szCs w:val="21"/>
        </w:rPr>
        <w:t xml:space="preserve">Periodic access recertification — a scheduled report requiring each role owner to confirm their team's access is still appropriate, standard practice for SOX/banking-style audits.</w:t>
      </w:r>
    </w:p>
    <w:p>
      <w:pPr>
        <w:pStyle w:val="ListParagraph"/>
        <w:numPr>
          <w:ilvl w:val="0"/>
          <w:numId w:val="2"/>
        </w:numPr>
        <w:spacing w:after="80"/>
      </w:pPr>
      <w:r>
        <w:rPr>
          <w:sz w:val="21"/>
          <w:szCs w:val="21"/>
        </w:rPr>
        <w:t xml:space="preserve">Every login, delegation, and access change is captured in the same full audit trail required elsewhere on the platform (Section 12), queryable the same way a Credit Request's own change history is.</w:t>
      </w:r>
    </w:p>
    <w:p>
      <w:pPr>
        <w:pStyle w:val="Heading1"/>
        <w:pageBreakBefore/>
        <w:spacing w:after="200" w:before="400"/>
      </w:pPr>
      <w:r>
        <w:rPr>
          <w:b/>
          <w:bCs/>
          <w:color w:val="1F3864"/>
          <w:sz w:val="32"/>
          <w:szCs w:val="32"/>
        </w:rPr>
        <w:t xml:space="preserve">23. Covenant Monitoring Process</w:t>
      </w:r>
    </w:p>
    <w:p>
      <w:pPr>
        <w:spacing w:after="160"/>
      </w:pPr>
      <w:r>
        <w:rPr>
          <w:sz w:val="21"/>
          <w:szCs w:val="21"/>
        </w:rPr>
        <w:t xml:space="preserve">Earlier sections treat covenant monitoring as data with a dashboard widget (Sections 6.1, 10) — a Covenant Check field with a status value, but nothing that actively drives behavior. That mirrors a real gap found in the reference engagement: a ‘Breached’ status existed as a value a user could select, with no system action tied to it. This section promotes covenant monitoring to a first-class PROCESS, built on the same Workflow Designer and Rules Engine (Sections 19.2, 19.3) that already drive the Request Type lifecycle — not a separate, bespoke mechanism.</w:t>
      </w:r>
    </w:p>
    <w:p>
      <w:pPr>
        <w:pStyle w:val="Heading2"/>
        <w:keepNext/>
        <w:spacing w:after="140" w:before="320"/>
      </w:pPr>
      <w:r>
        <w:rPr>
          <w:b/>
          <w:bCs/>
          <w:color w:val="2E5496"/>
          <w:sz w:val="26"/>
          <w:szCs w:val="26"/>
        </w:rPr>
        <w:t xml:space="preserve">23.1 Covenant Monitoring State Machine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400"/>
      </w:tblGrid>
      <w:tr>
        <w:trPr>
          <w:tblHeader/>
        </w:trPr>
        <w:tc>
          <w:tcPr>
            <w:tcW w:type="dxa" w:w="2200"/>
            <w:shd w:fill="1F3864" w:val="clear"/>
            <w:tcMar>
              <w:top w:type="dxa" w:w="60"/>
              <w:left w:type="dxa" w:w="80"/>
              <w:bottom w:type="dxa" w:w="60"/>
              <w:right w:type="dxa" w:w="80"/>
            </w:tcMar>
          </w:tcPr>
          <w:p>
            <w:r>
              <w:rPr>
                <w:b/>
                <w:bCs/>
                <w:color w:val="FFFFFF"/>
                <w:sz w:val="19"/>
                <w:szCs w:val="19"/>
              </w:rPr>
              <w:t xml:space="preserve">State</w:t>
            </w:r>
          </w:p>
        </w:tc>
        <w:tc>
          <w:tcPr>
            <w:tcW w:type="dxa" w:w="3600"/>
            <w:shd w:fill="1F3864" w:val="clear"/>
            <w:tcMar>
              <w:top w:type="dxa" w:w="60"/>
              <w:left w:type="dxa" w:w="80"/>
              <w:bottom w:type="dxa" w:w="60"/>
              <w:right w:type="dxa" w:w="80"/>
            </w:tcMar>
          </w:tcPr>
          <w:p>
            <w:r>
              <w:rPr>
                <w:b/>
                <w:bCs/>
                <w:color w:val="FFFFFF"/>
                <w:sz w:val="19"/>
                <w:szCs w:val="19"/>
              </w:rPr>
              <w:t xml:space="preserve">Description</w:t>
            </w:r>
          </w:p>
        </w:tc>
        <w:tc>
          <w:tcPr>
            <w:tcW w:type="dxa" w:w="3400"/>
            <w:shd w:fill="1F3864" w:val="clear"/>
            <w:tcMar>
              <w:top w:type="dxa" w:w="60"/>
              <w:left w:type="dxa" w:w="80"/>
              <w:bottom w:type="dxa" w:w="60"/>
              <w:right w:type="dxa" w:w="80"/>
            </w:tcMar>
          </w:tcPr>
          <w:p>
            <w:r>
              <w:rPr>
                <w:b/>
                <w:bCs/>
                <w:color w:val="FFFFFF"/>
                <w:sz w:val="19"/>
                <w:szCs w:val="19"/>
              </w:rPr>
              <w:t xml:space="preserve">Transition Trigger</w:t>
            </w:r>
          </w:p>
        </w:tc>
      </w:tr>
      <w:tr>
        <w:tc>
          <w:tcPr>
            <w:tcW w:type="dxa" w:w="2200"/>
            <w:shd w:fill="FFFFFF" w:val="clear"/>
            <w:tcMar>
              <w:top w:type="dxa" w:w="60"/>
              <w:left w:type="dxa" w:w="80"/>
              <w:bottom w:type="dxa" w:w="60"/>
              <w:right w:type="dxa" w:w="80"/>
            </w:tcMar>
          </w:tcPr>
          <w:p>
            <w:r>
              <w:rPr>
                <w:sz w:val="19"/>
                <w:szCs w:val="19"/>
              </w:rPr>
              <w:t xml:space="preserve">Scheduled</w:t>
            </w:r>
          </w:p>
        </w:tc>
        <w:tc>
          <w:tcPr>
            <w:tcW w:type="dxa" w:w="3600"/>
            <w:shd w:fill="FFFFFF" w:val="clear"/>
            <w:tcMar>
              <w:top w:type="dxa" w:w="60"/>
              <w:left w:type="dxa" w:w="80"/>
              <w:bottom w:type="dxa" w:w="60"/>
              <w:right w:type="dxa" w:w="80"/>
            </w:tcMar>
          </w:tcPr>
          <w:p>
            <w:r>
              <w:rPr>
                <w:sz w:val="19"/>
                <w:szCs w:val="19"/>
              </w:rPr>
              <w:t xml:space="preserve">Covenant is active with a future test date on record</w:t>
            </w:r>
          </w:p>
        </w:tc>
        <w:tc>
          <w:tcPr>
            <w:tcW w:type="dxa" w:w="3400"/>
            <w:shd w:fill="FFFFFF" w:val="clear"/>
            <w:tcMar>
              <w:top w:type="dxa" w:w="60"/>
              <w:left w:type="dxa" w:w="80"/>
              <w:bottom w:type="dxa" w:w="60"/>
              <w:right w:type="dxa" w:w="80"/>
            </w:tcMar>
          </w:tcPr>
          <w:p>
            <w:r>
              <w:rPr>
                <w:sz w:val="19"/>
                <w:szCs w:val="19"/>
              </w:rPr>
              <w:t xml:space="preserve">Covenant created or prior test cycle closed</w:t>
            </w:r>
          </w:p>
        </w:tc>
      </w:tr>
      <w:tr>
        <w:tc>
          <w:tcPr>
            <w:tcW w:type="dxa" w:w="2200"/>
            <w:shd w:fill="DCE6F1" w:val="clear"/>
            <w:tcMar>
              <w:top w:type="dxa" w:w="60"/>
              <w:left w:type="dxa" w:w="80"/>
              <w:bottom w:type="dxa" w:w="60"/>
              <w:right w:type="dxa" w:w="80"/>
            </w:tcMar>
          </w:tcPr>
          <w:p>
            <w:r>
              <w:rPr>
                <w:sz w:val="19"/>
                <w:szCs w:val="19"/>
              </w:rPr>
              <w:t xml:space="preserve">Due</w:t>
            </w:r>
          </w:p>
        </w:tc>
        <w:tc>
          <w:tcPr>
            <w:tcW w:type="dxa" w:w="3600"/>
            <w:shd w:fill="DCE6F1" w:val="clear"/>
            <w:tcMar>
              <w:top w:type="dxa" w:w="60"/>
              <w:left w:type="dxa" w:w="80"/>
              <w:bottom w:type="dxa" w:w="60"/>
              <w:right w:type="dxa" w:w="80"/>
            </w:tcMar>
          </w:tcPr>
          <w:p>
            <w:r>
              <w:rPr>
                <w:sz w:val="19"/>
                <w:szCs w:val="19"/>
              </w:rPr>
              <w:t xml:space="preserve">Test date has arrived</w:t>
            </w:r>
          </w:p>
        </w:tc>
        <w:tc>
          <w:tcPr>
            <w:tcW w:type="dxa" w:w="3400"/>
            <w:shd w:fill="DCE6F1" w:val="clear"/>
            <w:tcMar>
              <w:top w:type="dxa" w:w="60"/>
              <w:left w:type="dxa" w:w="80"/>
              <w:bottom w:type="dxa" w:w="60"/>
              <w:right w:type="dxa" w:w="80"/>
            </w:tcMar>
          </w:tcPr>
          <w:p>
            <w:r>
              <w:rPr>
                <w:sz w:val="19"/>
                <w:szCs w:val="19"/>
              </w:rPr>
              <w:t xml:space="preserve">Scheduler (Section 23.4) reaches the Next Test Due Date</w:t>
            </w:r>
          </w:p>
        </w:tc>
      </w:tr>
      <w:tr>
        <w:tc>
          <w:tcPr>
            <w:tcW w:type="dxa" w:w="2200"/>
            <w:shd w:fill="FFFFFF" w:val="clear"/>
            <w:tcMar>
              <w:top w:type="dxa" w:w="60"/>
              <w:left w:type="dxa" w:w="80"/>
              <w:bottom w:type="dxa" w:w="60"/>
              <w:right w:type="dxa" w:w="80"/>
            </w:tcMar>
          </w:tcPr>
          <w:p>
            <w:r>
              <w:rPr>
                <w:sz w:val="19"/>
                <w:szCs w:val="19"/>
              </w:rPr>
              <w:t xml:space="preserve">Tested</w:t>
            </w:r>
          </w:p>
        </w:tc>
        <w:tc>
          <w:tcPr>
            <w:tcW w:type="dxa" w:w="3600"/>
            <w:shd w:fill="FFFFFF" w:val="clear"/>
            <w:tcMar>
              <w:top w:type="dxa" w:w="60"/>
              <w:left w:type="dxa" w:w="80"/>
              <w:bottom w:type="dxa" w:w="60"/>
              <w:right w:type="dxa" w:w="80"/>
            </w:tcMar>
          </w:tcPr>
          <w:p>
            <w:r>
              <w:rPr>
                <w:sz w:val="19"/>
                <w:szCs w:val="19"/>
              </w:rPr>
              <w:t xml:space="preserve">Required measurement has been entered and evaluated</w:t>
            </w:r>
          </w:p>
        </w:tc>
        <w:tc>
          <w:tcPr>
            <w:tcW w:type="dxa" w:w="3400"/>
            <w:shd w:fill="FFFFFF" w:val="clear"/>
            <w:tcMar>
              <w:top w:type="dxa" w:w="60"/>
              <w:left w:type="dxa" w:w="80"/>
              <w:bottom w:type="dxa" w:w="60"/>
              <w:right w:type="dxa" w:w="80"/>
            </w:tcMar>
          </w:tcPr>
          <w:p>
            <w:r>
              <w:rPr>
                <w:sz w:val="19"/>
                <w:szCs w:val="19"/>
              </w:rPr>
              <w:t xml:space="preserve">Control Officer logs the test result</w:t>
            </w:r>
          </w:p>
        </w:tc>
      </w:tr>
      <w:tr>
        <w:tc>
          <w:tcPr>
            <w:tcW w:type="dxa" w:w="2200"/>
            <w:shd w:fill="DCE6F1" w:val="clear"/>
            <w:tcMar>
              <w:top w:type="dxa" w:w="60"/>
              <w:left w:type="dxa" w:w="80"/>
              <w:bottom w:type="dxa" w:w="60"/>
              <w:right w:type="dxa" w:w="80"/>
            </w:tcMar>
          </w:tcPr>
          <w:p>
            <w:r>
              <w:rPr>
                <w:sz w:val="19"/>
                <w:szCs w:val="19"/>
              </w:rPr>
              <w:t xml:space="preserve">Met</w:t>
            </w:r>
          </w:p>
        </w:tc>
        <w:tc>
          <w:tcPr>
            <w:tcW w:type="dxa" w:w="3600"/>
            <w:shd w:fill="DCE6F1" w:val="clear"/>
            <w:tcMar>
              <w:top w:type="dxa" w:w="60"/>
              <w:left w:type="dxa" w:w="80"/>
              <w:bottom w:type="dxa" w:w="60"/>
              <w:right w:type="dxa" w:w="80"/>
            </w:tcMar>
          </w:tcPr>
          <w:p>
            <w:r>
              <w:rPr>
                <w:sz w:val="19"/>
                <w:szCs w:val="19"/>
              </w:rPr>
              <w:t xml:space="preserve">Actual value satisfies the covenant threshold</w:t>
            </w:r>
          </w:p>
        </w:tc>
        <w:tc>
          <w:tcPr>
            <w:tcW w:type="dxa" w:w="3400"/>
            <w:shd w:fill="DCE6F1" w:val="clear"/>
            <w:tcMar>
              <w:top w:type="dxa" w:w="60"/>
              <w:left w:type="dxa" w:w="80"/>
              <w:bottom w:type="dxa" w:w="60"/>
              <w:right w:type="dxa" w:w="80"/>
            </w:tcMar>
          </w:tcPr>
          <w:p>
            <w:r>
              <w:rPr>
                <w:sz w:val="19"/>
                <w:szCs w:val="19"/>
              </w:rPr>
              <w:t xml:space="preserve">Automatic, based on test result; cycle closes and reschedules per testing frequency</w:t>
            </w:r>
          </w:p>
        </w:tc>
      </w:tr>
      <w:tr>
        <w:tc>
          <w:tcPr>
            <w:tcW w:type="dxa" w:w="2200"/>
            <w:shd w:fill="FFFFFF" w:val="clear"/>
            <w:tcMar>
              <w:top w:type="dxa" w:w="60"/>
              <w:left w:type="dxa" w:w="80"/>
              <w:bottom w:type="dxa" w:w="60"/>
              <w:right w:type="dxa" w:w="80"/>
            </w:tcMar>
          </w:tcPr>
          <w:p>
            <w:r>
              <w:rPr>
                <w:sz w:val="19"/>
                <w:szCs w:val="19"/>
              </w:rPr>
              <w:t xml:space="preserve">Breached</w:t>
            </w:r>
          </w:p>
        </w:tc>
        <w:tc>
          <w:tcPr>
            <w:tcW w:type="dxa" w:w="3600"/>
            <w:shd w:fill="FFFFFF" w:val="clear"/>
            <w:tcMar>
              <w:top w:type="dxa" w:w="60"/>
              <w:left w:type="dxa" w:w="80"/>
              <w:bottom w:type="dxa" w:w="60"/>
              <w:right w:type="dxa" w:w="80"/>
            </w:tcMar>
          </w:tcPr>
          <w:p>
            <w:r>
              <w:rPr>
                <w:sz w:val="19"/>
                <w:szCs w:val="19"/>
              </w:rPr>
              <w:t xml:space="preserve">Actual value fails the covenant threshold</w:t>
            </w:r>
          </w:p>
        </w:tc>
        <w:tc>
          <w:tcPr>
            <w:tcW w:type="dxa" w:w="3400"/>
            <w:shd w:fill="FFFFFF" w:val="clear"/>
            <w:tcMar>
              <w:top w:type="dxa" w:w="60"/>
              <w:left w:type="dxa" w:w="80"/>
              <w:bottom w:type="dxa" w:w="60"/>
              <w:right w:type="dxa" w:w="80"/>
            </w:tcMar>
          </w:tcPr>
          <w:p>
            <w:r>
              <w:rPr>
                <w:sz w:val="19"/>
                <w:szCs w:val="19"/>
              </w:rPr>
              <w:t xml:space="preserve">Automatic, based on test result; auto-fires escalation (Section 23.4)</w:t>
            </w:r>
          </w:p>
        </w:tc>
      </w:tr>
      <w:tr>
        <w:tc>
          <w:tcPr>
            <w:tcW w:type="dxa" w:w="2200"/>
            <w:shd w:fill="DCE6F1" w:val="clear"/>
            <w:tcMar>
              <w:top w:type="dxa" w:w="60"/>
              <w:left w:type="dxa" w:w="80"/>
              <w:bottom w:type="dxa" w:w="60"/>
              <w:right w:type="dxa" w:w="80"/>
            </w:tcMar>
          </w:tcPr>
          <w:p>
            <w:r>
              <w:rPr>
                <w:sz w:val="19"/>
                <w:szCs w:val="19"/>
              </w:rPr>
              <w:t xml:space="preserve">Waiver Requested / Granted / Declined</w:t>
            </w:r>
          </w:p>
        </w:tc>
        <w:tc>
          <w:tcPr>
            <w:tcW w:type="dxa" w:w="3600"/>
            <w:shd w:fill="DCE6F1" w:val="clear"/>
            <w:tcMar>
              <w:top w:type="dxa" w:w="60"/>
              <w:left w:type="dxa" w:w="80"/>
              <w:bottom w:type="dxa" w:w="60"/>
              <w:right w:type="dxa" w:w="80"/>
            </w:tcMar>
          </w:tcPr>
          <w:p>
            <w:r>
              <w:rPr>
                <w:sz w:val="19"/>
                <w:szCs w:val="19"/>
              </w:rPr>
              <w:t xml:space="preserve">Formal response to a breach</w:t>
            </w:r>
          </w:p>
        </w:tc>
        <w:tc>
          <w:tcPr>
            <w:tcW w:type="dxa" w:w="3400"/>
            <w:shd w:fill="DCE6F1" w:val="clear"/>
            <w:tcMar>
              <w:top w:type="dxa" w:w="60"/>
              <w:left w:type="dxa" w:w="80"/>
              <w:bottom w:type="dxa" w:w="60"/>
              <w:right w:type="dxa" w:w="80"/>
            </w:tcMar>
          </w:tcPr>
          <w:p>
            <w:r>
              <w:rPr>
                <w:sz w:val="19"/>
                <w:szCs w:val="19"/>
              </w:rPr>
              <w:t xml:space="preserve">Authorized approver action (Section 23.5)</w:t>
            </w:r>
          </w:p>
        </w:tc>
      </w:tr>
      <w:tr>
        <w:tc>
          <w:tcPr>
            <w:tcW w:type="dxa" w:w="2200"/>
            <w:shd w:fill="FFFFFF" w:val="clear"/>
            <w:tcMar>
              <w:top w:type="dxa" w:w="60"/>
              <w:left w:type="dxa" w:w="80"/>
              <w:bottom w:type="dxa" w:w="60"/>
              <w:right w:type="dxa" w:w="80"/>
            </w:tcMar>
          </w:tcPr>
          <w:p>
            <w:r>
              <w:rPr>
                <w:sz w:val="19"/>
                <w:szCs w:val="19"/>
              </w:rPr>
              <w:t xml:space="preserve">Cure Period</w:t>
            </w:r>
          </w:p>
        </w:tc>
        <w:tc>
          <w:tcPr>
            <w:tcW w:type="dxa" w:w="3600"/>
            <w:shd w:fill="FFFFFF" w:val="clear"/>
            <w:tcMar>
              <w:top w:type="dxa" w:w="60"/>
              <w:left w:type="dxa" w:w="80"/>
              <w:bottom w:type="dxa" w:w="60"/>
              <w:right w:type="dxa" w:w="80"/>
            </w:tcMar>
          </w:tcPr>
          <w:p>
            <w:r>
              <w:rPr>
                <w:sz w:val="19"/>
                <w:szCs w:val="19"/>
              </w:rPr>
              <w:t xml:space="preserve">Borrower given a defined window to remedy the breach</w:t>
            </w:r>
          </w:p>
        </w:tc>
        <w:tc>
          <w:tcPr>
            <w:tcW w:type="dxa" w:w="3400"/>
            <w:shd w:fill="FFFFFF" w:val="clear"/>
            <w:tcMar>
              <w:top w:type="dxa" w:w="60"/>
              <w:left w:type="dxa" w:w="80"/>
              <w:bottom w:type="dxa" w:w="60"/>
              <w:right w:type="dxa" w:w="80"/>
            </w:tcMar>
          </w:tcPr>
          <w:p>
            <w:r>
              <w:rPr>
                <w:sz w:val="19"/>
                <w:szCs w:val="19"/>
              </w:rPr>
              <w:t xml:space="preserve">Entered automatically on Breach if a grace period is configured (Section 18.8)</w:t>
            </w:r>
          </w:p>
        </w:tc>
      </w:tr>
      <w:tr>
        <w:tc>
          <w:tcPr>
            <w:tcW w:type="dxa" w:w="2200"/>
            <w:shd w:fill="DCE6F1" w:val="clear"/>
            <w:tcMar>
              <w:top w:type="dxa" w:w="60"/>
              <w:left w:type="dxa" w:w="80"/>
              <w:bottom w:type="dxa" w:w="60"/>
              <w:right w:type="dxa" w:w="80"/>
            </w:tcMar>
          </w:tcPr>
          <w:p>
            <w:r>
              <w:rPr>
                <w:sz w:val="19"/>
                <w:szCs w:val="19"/>
              </w:rPr>
              <w:t xml:space="preserve">Cured / Event of Default</w:t>
            </w:r>
          </w:p>
        </w:tc>
        <w:tc>
          <w:tcPr>
            <w:tcW w:type="dxa" w:w="3600"/>
            <w:shd w:fill="DCE6F1" w:val="clear"/>
            <w:tcMar>
              <w:top w:type="dxa" w:w="60"/>
              <w:left w:type="dxa" w:w="80"/>
              <w:bottom w:type="dxa" w:w="60"/>
              <w:right w:type="dxa" w:w="80"/>
            </w:tcMar>
          </w:tcPr>
          <w:p>
            <w:r>
              <w:rPr>
                <w:sz w:val="19"/>
                <w:szCs w:val="19"/>
              </w:rPr>
              <w:t xml:space="preserve">Outcome of the cure period</w:t>
            </w:r>
          </w:p>
        </w:tc>
        <w:tc>
          <w:tcPr>
            <w:tcW w:type="dxa" w:w="3400"/>
            <w:shd w:fill="DCE6F1" w:val="clear"/>
            <w:tcMar>
              <w:top w:type="dxa" w:w="60"/>
              <w:left w:type="dxa" w:w="80"/>
              <w:bottom w:type="dxa" w:w="60"/>
              <w:right w:type="dxa" w:w="80"/>
            </w:tcMar>
          </w:tcPr>
          <w:p>
            <w:r>
              <w:rPr>
                <w:sz w:val="19"/>
                <w:szCs w:val="19"/>
              </w:rPr>
              <w:t xml:space="preserve">Re-test within the window (Cured) or window expiry without remedy (Event of Default)</w:t>
            </w:r>
          </w:p>
        </w:tc>
      </w:tr>
    </w:tbl>
    <w:p>
      <w:pPr>
        <w:pStyle w:val="Heading2"/>
        <w:keepNext/>
        <w:spacing w:after="140" w:before="320"/>
      </w:pPr>
      <w:r>
        <w:rPr>
          <w:b/>
          <w:bCs/>
          <w:color w:val="2E5496"/>
          <w:sz w:val="26"/>
          <w:szCs w:val="26"/>
        </w:rPr>
        <w:t xml:space="preserve">23.2 Data Model (Summary)</w:t>
      </w:r>
    </w:p>
    <w:p>
      <w:pPr>
        <w:spacing w:after="160"/>
      </w:pPr>
      <w:r>
        <w:rPr>
          <w:sz w:val="21"/>
          <w:szCs w:val="21"/>
        </w:rPr>
        <w:t xml:space="preserve">Full field-level detail belongs in the Field Matrix once build begins; the categories a covenant record must carry:</w:t>
      </w:r>
    </w:p>
    <w:p>
      <w:pPr>
        <w:pStyle w:val="ListParagraph"/>
        <w:numPr>
          <w:ilvl w:val="0"/>
          <w:numId w:val="2"/>
        </w:numPr>
        <w:spacing w:after="80"/>
      </w:pPr>
      <w:r>
        <w:rPr>
          <w:sz w:val="21"/>
          <w:szCs w:val="21"/>
        </w:rPr>
        <w:t xml:space="preserve">Definition — type, category, threshold, comparison operator, linked facility/borrower</w:t>
      </w:r>
    </w:p>
    <w:p>
      <w:pPr>
        <w:pStyle w:val="ListParagraph"/>
        <w:numPr>
          <w:ilvl w:val="0"/>
          <w:numId w:val="2"/>
        </w:numPr>
        <w:spacing w:after="80"/>
      </w:pPr>
      <w:r>
        <w:rPr>
          <w:sz w:val="21"/>
          <w:szCs w:val="21"/>
        </w:rPr>
        <w:t xml:space="preserve">Measurement inputs — the specific financial-statement line items the test depends on, sourced from the Financial Analysis module (Section 4), plus as-of date and data source</w:t>
      </w:r>
    </w:p>
    <w:p>
      <w:pPr>
        <w:pStyle w:val="ListParagraph"/>
        <w:numPr>
          <w:ilvl w:val="0"/>
          <w:numId w:val="2"/>
        </w:numPr>
        <w:spacing w:after="80"/>
      </w:pPr>
      <w:r>
        <w:rPr>
          <w:sz w:val="21"/>
          <w:szCs w:val="21"/>
        </w:rPr>
        <w:t xml:space="preserve">Testing schedule — frequency, Next Test Due Date, grace/cure period</w:t>
      </w:r>
    </w:p>
    <w:p>
      <w:pPr>
        <w:pStyle w:val="ListParagraph"/>
        <w:numPr>
          <w:ilvl w:val="0"/>
          <w:numId w:val="2"/>
        </w:numPr>
        <w:spacing w:after="80"/>
      </w:pPr>
      <w:r>
        <w:rPr>
          <w:sz w:val="21"/>
          <w:szCs w:val="21"/>
        </w:rPr>
        <w:t xml:space="preserve">Compliance history — one record PER test cycle (test date, actual value, required value at that time, status, headroom/margin), never just a single current value</w:t>
      </w:r>
    </w:p>
    <w:p>
      <w:pPr>
        <w:pStyle w:val="ListParagraph"/>
        <w:numPr>
          <w:ilvl w:val="0"/>
          <w:numId w:val="2"/>
        </w:numPr>
        <w:spacing w:after="80"/>
      </w:pPr>
      <w:r>
        <w:rPr>
          <w:sz w:val="21"/>
          <w:szCs w:val="21"/>
        </w:rPr>
        <w:t xml:space="preserve">Breach handling — breach date, waiver status and approving authority, cure status, consequence</w:t>
      </w:r>
    </w:p>
    <w:p>
      <w:pPr>
        <w:pStyle w:val="ListParagraph"/>
        <w:numPr>
          <w:ilvl w:val="0"/>
          <w:numId w:val="2"/>
        </w:numPr>
        <w:spacing w:after="80"/>
      </w:pPr>
      <w:r>
        <w:rPr>
          <w:sz w:val="21"/>
          <w:szCs w:val="21"/>
        </w:rPr>
        <w:t xml:space="preserve">Audit — who recorded each test, full history of any amendment to the covenant's own terms</w:t>
      </w:r>
    </w:p>
    <w:p>
      <w:pPr>
        <w:pStyle w:val="Heading2"/>
        <w:keepNext/>
        <w:spacing w:after="140" w:before="320"/>
      </w:pPr>
      <w:r>
        <w:rPr>
          <w:b/>
          <w:bCs/>
          <w:color w:val="2E5496"/>
          <w:sz w:val="26"/>
          <w:szCs w:val="26"/>
        </w:rPr>
        <w:t xml:space="preserve">23.3 Dashboard Integration</w:t>
      </w:r>
    </w:p>
    <w:p>
      <w:pPr>
        <w:spacing w:after="160"/>
      </w:pPr>
      <w:r>
        <w:rPr>
          <w:sz w:val="21"/>
          <w:szCs w:val="21"/>
        </w:rPr>
        <w:t xml:space="preserve">The Covenant/Condition Follow-Up Tracker and Post-Sanction Monitoring Alerts widgets (Section 10) become live views over this state machine rather than a static list — “Due” and “Breached” states surface automatically without a separate reporting query.</w:t>
      </w:r>
    </w:p>
    <w:p>
      <w:pPr>
        <w:pStyle w:val="Heading2"/>
        <w:keepNext/>
        <w:spacing w:after="140" w:before="320"/>
      </w:pPr>
      <w:r>
        <w:rPr>
          <w:b/>
          <w:bCs/>
          <w:color w:val="2E5496"/>
          <w:sz w:val="26"/>
          <w:szCs w:val="26"/>
        </w:rPr>
        <w:t xml:space="preserve">23.4 Triggers &amp; Automation — the Scheduler Component</w:t>
      </w:r>
    </w:p>
    <w:p>
      <w:pPr>
        <w:spacing w:after="160"/>
      </w:pPr>
      <w:r>
        <w:rPr>
          <w:sz w:val="21"/>
          <w:szCs w:val="21"/>
        </w:rPr>
        <w:t xml:space="preserve">Every other process in this document is triggered by a user action (a submission, a field change, a vote). Covenant monitoring is the first process that must also fire on the PASSAGE OF TIME — a due date arriving with no user having touched anything. This requires a scheduler/batch component as part of the core platform, running on a configurable cadence (Section 18.8), which evaluates Next Test Due Date against the current date and moves records from Scheduled to Due — feeding the Rules Engine's new scheduled_date_reached trigger type (Section 19.2).</w:t>
      </w:r>
    </w:p>
    <w:p>
      <w:pPr>
        <w:pStyle w:val="ListParagraph"/>
        <w:numPr>
          <w:ilvl w:val="0"/>
          <w:numId w:val="2"/>
        </w:numPr>
        <w:spacing w:after="80"/>
      </w:pPr>
      <w:r>
        <w:rPr>
          <w:sz w:val="21"/>
          <w:szCs w:val="21"/>
        </w:rPr>
        <w:t xml:space="preserve">Due Date Reached → auto-creates a task for the owning Control/Covenant Officer role, visible in their worklist (Section 15).</w:t>
      </w:r>
    </w:p>
    <w:p>
      <w:pPr>
        <w:pStyle w:val="ListParagraph"/>
        <w:numPr>
          <w:ilvl w:val="0"/>
          <w:numId w:val="2"/>
        </w:numPr>
        <w:spacing w:after="80"/>
      </w:pPr>
      <w:r>
        <w:rPr>
          <w:sz w:val="21"/>
          <w:szCs w:val="21"/>
        </w:rPr>
        <w:t xml:space="preserve">Status = Breached → auto-fires the escalation rule, routing to the configured recipients (Section 18.8) — closing the exact gap found in the reference engagement.</w:t>
      </w:r>
    </w:p>
    <w:p>
      <w:pPr>
        <w:pStyle w:val="ListParagraph"/>
        <w:numPr>
          <w:ilvl w:val="0"/>
          <w:numId w:val="2"/>
        </w:numPr>
        <w:spacing w:after="80"/>
      </w:pPr>
      <w:r>
        <w:rPr>
          <w:sz w:val="21"/>
          <w:szCs w:val="21"/>
        </w:rPr>
        <w:t xml:space="preserve">Cure Period Expiry → auto-escalates to Event of Default status if no cure is logged within the configured window.</w:t>
      </w:r>
    </w:p>
    <w:p>
      <w:pPr>
        <w:pStyle w:val="Heading2"/>
        <w:keepNext/>
        <w:spacing w:after="140" w:before="320"/>
      </w:pPr>
      <w:r>
        <w:rPr>
          <w:b/>
          <w:bCs/>
          <w:color w:val="2E5496"/>
          <w:sz w:val="26"/>
          <w:szCs w:val="26"/>
        </w:rPr>
        <w:t xml:space="preserve">23.5 Roles &amp; Responsibilities</w:t>
      </w:r>
    </w:p>
    <w:p>
      <w:pPr>
        <w:pStyle w:val="ListParagraph"/>
        <w:numPr>
          <w:ilvl w:val="0"/>
          <w:numId w:val="2"/>
        </w:numPr>
        <w:spacing w:after="80"/>
      </w:pPr>
      <w:r>
        <w:rPr>
          <w:sz w:val="21"/>
          <w:szCs w:val="21"/>
        </w:rPr>
        <w:t xml:space="preserve">Control/Covenant Officer (Section 2.2) owns logging test results and tracking due dates.</w:t>
      </w:r>
    </w:p>
    <w:p>
      <w:pPr>
        <w:pStyle w:val="ListParagraph"/>
        <w:numPr>
          <w:ilvl w:val="0"/>
          <w:numId w:val="2"/>
        </w:numPr>
        <w:spacing w:after="80"/>
      </w:pPr>
      <w:r>
        <w:rPr>
          <w:sz w:val="21"/>
          <w:szCs w:val="21"/>
        </w:rPr>
        <w:t xml:space="preserve">Waiver decisions route through an approval authority scaled to covenant materiality — reusing the Delegated Authority Matrix pattern (Section 3.3) rather than inventing a separate authority table.</w:t>
      </w:r>
    </w:p>
    <w:p>
      <w:pPr>
        <w:pStyle w:val="ListParagraph"/>
        <w:numPr>
          <w:ilvl w:val="0"/>
          <w:numId w:val="2"/>
        </w:numPr>
        <w:spacing w:after="80"/>
      </w:pPr>
      <w:r>
        <w:rPr>
          <w:sz w:val="21"/>
          <w:szCs w:val="21"/>
        </w:rPr>
        <w:t xml:space="preserve">Credit Review (Section 2.2) is notified of any Breach or Event of Default regardless of waiver outcome, for portfolio-level risk visibility.</w:t>
      </w:r>
    </w:p>
    <w:p>
      <w:pPr>
        <w:spacing w:after="160"/>
        <w:ind w:left="360"/>
      </w:pPr>
      <w:r>
        <w:rPr>
          <w:i/>
          <w:iCs/>
          <w:color w:val="595959"/>
          <w:sz w:val="20"/>
          <w:szCs w:val="20"/>
        </w:rPr>
        <w:t xml:space="preserve">Build cost honestly stated: this is genuine additional scope, primarily the scheduler component (Section 23.4), which nothing else in this document requires. It reuses the Workflow Designer and Rules Engine rather than introducing separate machinery — the new surface area is the time-based trigger and the batch job that feeds it, not a parallel configuration system.</w:t>
      </w:r>
    </w:p>
    <w:p>
      <w:pPr>
        <w:pStyle w:val="Heading1"/>
        <w:pageBreakBefore/>
        <w:spacing w:after="200" w:before="400"/>
      </w:pPr>
      <w:r>
        <w:rPr>
          <w:b/>
          <w:bCs/>
          <w:color w:val="1F3864"/>
          <w:sz w:val="32"/>
          <w:szCs w:val="32"/>
        </w:rPr>
        <w:t xml:space="preserve">24. Deployment Strategy</w:t>
      </w:r>
    </w:p>
    <w:p>
      <w:pPr>
        <w:spacing w:after="160"/>
      </w:pPr>
      <w:r>
        <w:rPr>
          <w:sz w:val="21"/>
          <w:szCs w:val="21"/>
        </w:rPr>
        <w:t xml:space="preserve">Everything through Section 23 is architecture INSIDE the platform. This section addresses how the platform is actually delivered and run — a genuinely different category of decision, with its own tension to resolve before anything else follows from it.</w:t>
      </w:r>
    </w:p>
    <w:p>
      <w:pPr>
        <w:pStyle w:val="Heading2"/>
        <w:keepNext/>
        <w:spacing w:after="140" w:before="320"/>
      </w:pPr>
      <w:r>
        <w:rPr>
          <w:b/>
          <w:bCs/>
          <w:color w:val="2E5496"/>
          <w:sz w:val="26"/>
          <w:szCs w:val="26"/>
        </w:rPr>
        <w:t xml:space="preserve">24.1 The Central Tension: SaaS Economics vs. Banking Regulatory Reality</w:t>
      </w:r>
    </w:p>
    <w:p>
      <w:pPr>
        <w:spacing w:after="160"/>
      </w:pPr>
      <w:r>
        <w:rPr>
          <w:sz w:val="21"/>
          <w:szCs w:val="21"/>
        </w:rPr>
        <w:t xml:space="preserve">The commercial case built in Section 19.5 — the second bank costs a fraction of the first because the team is configuring the same engine, not rebuilding it — is strongest under true multi-tenant SaaS: one running deployment, many banks sharing it, separated only by tenant_id. But banking regulators frequently don't allow that. Data residency rules (a bank's customer data cannot leave the country, or cannot commingle with another institution's data on shared infrastructure) and conservative bank risk-committee postures routinely rule out a shared database instance even when the application logic is identical.</w:t>
      </w:r>
    </w:p>
    <w:p>
      <w:pPr>
        <w:pBdr>
          <w:top w:val="single" w:color="2E5496" w:sz="4"/>
          <w:bottom w:val="single" w:color="2E5496" w:sz="4"/>
          <w:left w:val="single" w:color="2E5496" w:sz="4"/>
          <w:right w:val="single" w:color="2E5496" w:sz="4"/>
        </w:pBdr>
        <w:shd w:fill="DCE6F1" w:val="clear"/>
        <w:spacing w:after="200" w:before="120"/>
        <w:ind w:left="200" w:right="200"/>
      </w:pPr>
      <w:r>
        <w:rPr>
          <w:b/>
          <w:bCs/>
          <w:color w:val="1F3864"/>
          <w:sz w:val="21"/>
          <w:szCs w:val="21"/>
        </w:rPr>
        <w:t xml:space="preserve">Single-Tenant Deployment, Multi-Tenant-Capable Architecture — </w:t>
      </w:r>
      <w:r>
        <w:rPr>
          <w:sz w:val="21"/>
          <w:szCs w:val="21"/>
        </w:rPr>
        <w:t xml:space="preserve">the resolution adopted by this document. Every multi-tenant mechanism built in Section 19 (tenant_id on every table, the shared core field library, configuration-over-hardcoding) is retained in full, but the DEFAULT deployment is a dedicated instance per bank, not a shared one. This keeps the commercial benefit — onboarding a new bank is still ‘configure a new instance,’ never ‘write new code’ — without ever asking a bank's compliance team to accept data commingling with another institution. True shared multi-tenancy remains available as a lower-cost tier for smaller NBFCs/fintechs in jurisdictions with lighter data-residency requirements, not as the assumed default for a regulated bank.</w:t>
      </w:r>
    </w:p>
    <w:p>
      <w:pPr>
        <w:pStyle w:val="Heading2"/>
        <w:keepNext/>
        <w:spacing w:after="140" w:before="320"/>
      </w:pPr>
      <w:r>
        <w:rPr>
          <w:b/>
          <w:bCs/>
          <w:color w:val="2E5496"/>
          <w:sz w:val="26"/>
          <w:szCs w:val="26"/>
        </w:rPr>
        <w:t xml:space="preserve">24.2 Deployment Topology Options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600"/>
      </w:tblGrid>
      <w:tr>
        <w:trPr>
          <w:tblHeader/>
        </w:trPr>
        <w:tc>
          <w:tcPr>
            <w:tcW w:type="dxa" w:w="2800"/>
            <w:shd w:fill="1F3864" w:val="clear"/>
            <w:tcMar>
              <w:top w:type="dxa" w:w="60"/>
              <w:left w:type="dxa" w:w="80"/>
              <w:bottom w:type="dxa" w:w="60"/>
              <w:right w:type="dxa" w:w="80"/>
            </w:tcMar>
          </w:tcPr>
          <w:p>
            <w:r>
              <w:rPr>
                <w:b/>
                <w:bCs/>
                <w:color w:val="FFFFFF"/>
                <w:sz w:val="19"/>
                <w:szCs w:val="19"/>
              </w:rPr>
              <w:t xml:space="preserve">Topology</w:t>
            </w:r>
          </w:p>
        </w:tc>
        <w:tc>
          <w:tcPr>
            <w:tcW w:type="dxa" w:w="3800"/>
            <w:shd w:fill="1F3864" w:val="clear"/>
            <w:tcMar>
              <w:top w:type="dxa" w:w="60"/>
              <w:left w:type="dxa" w:w="80"/>
              <w:bottom w:type="dxa" w:w="60"/>
              <w:right w:type="dxa" w:w="80"/>
            </w:tcMar>
          </w:tcPr>
          <w:p>
            <w:r>
              <w:rPr>
                <w:b/>
                <w:bCs/>
                <w:color w:val="FFFFFF"/>
                <w:sz w:val="19"/>
                <w:szCs w:val="19"/>
              </w:rPr>
              <w:t xml:space="preserve">When It Fits</w:t>
            </w:r>
          </w:p>
        </w:tc>
        <w:tc>
          <w:tcPr>
            <w:tcW w:type="dxa" w:w="2600"/>
            <w:shd w:fill="1F3864" w:val="clear"/>
            <w:tcMar>
              <w:top w:type="dxa" w:w="60"/>
              <w:left w:type="dxa" w:w="80"/>
              <w:bottom w:type="dxa" w:w="60"/>
              <w:right w:type="dxa" w:w="80"/>
            </w:tcMar>
          </w:tcPr>
          <w:p>
            <w:r>
              <w:rPr>
                <w:b/>
                <w:bCs/>
                <w:color w:val="FFFFFF"/>
                <w:sz w:val="19"/>
                <w:szCs w:val="19"/>
              </w:rPr>
              <w:t xml:space="preserve">Isolation Level</w:t>
            </w:r>
          </w:p>
        </w:tc>
      </w:tr>
      <w:tr>
        <w:tc>
          <w:tcPr>
            <w:tcW w:type="dxa" w:w="2800"/>
            <w:shd w:fill="FFFFFF" w:val="clear"/>
            <w:tcMar>
              <w:top w:type="dxa" w:w="60"/>
              <w:left w:type="dxa" w:w="80"/>
              <w:bottom w:type="dxa" w:w="60"/>
              <w:right w:type="dxa" w:w="80"/>
            </w:tcMar>
          </w:tcPr>
          <w:p>
            <w:r>
              <w:rPr>
                <w:sz w:val="19"/>
                <w:szCs w:val="19"/>
              </w:rPr>
              <w:t xml:space="preserve">Dedicated instance per bank (default)</w:t>
            </w:r>
          </w:p>
        </w:tc>
        <w:tc>
          <w:tcPr>
            <w:tcW w:type="dxa" w:w="3800"/>
            <w:shd w:fill="FFFFFF" w:val="clear"/>
            <w:tcMar>
              <w:top w:type="dxa" w:w="60"/>
              <w:left w:type="dxa" w:w="80"/>
              <w:bottom w:type="dxa" w:w="60"/>
              <w:right w:type="dxa" w:w="80"/>
            </w:tcMar>
          </w:tcPr>
          <w:p>
            <w:r>
              <w:rPr>
                <w:sz w:val="19"/>
                <w:szCs w:val="19"/>
              </w:rPr>
              <w:t xml:space="preserve">Regulated banks with data residency or non-commingling requirements — the expected default for a client like NBK</w:t>
            </w:r>
          </w:p>
        </w:tc>
        <w:tc>
          <w:tcPr>
            <w:tcW w:type="dxa" w:w="2600"/>
            <w:shd w:fill="FFFFFF" w:val="clear"/>
            <w:tcMar>
              <w:top w:type="dxa" w:w="60"/>
              <w:left w:type="dxa" w:w="80"/>
              <w:bottom w:type="dxa" w:w="60"/>
              <w:right w:type="dxa" w:w="80"/>
            </w:tcMar>
          </w:tcPr>
          <w:p>
            <w:r>
              <w:rPr>
                <w:sz w:val="19"/>
                <w:szCs w:val="19"/>
              </w:rPr>
              <w:t xml:space="preserve">Full — separate database and application instance per tenant</w:t>
            </w:r>
          </w:p>
        </w:tc>
      </w:tr>
      <w:tr>
        <w:tc>
          <w:tcPr>
            <w:tcW w:type="dxa" w:w="2800"/>
            <w:shd w:fill="DCE6F1" w:val="clear"/>
            <w:tcMar>
              <w:top w:type="dxa" w:w="60"/>
              <w:left w:type="dxa" w:w="80"/>
              <w:bottom w:type="dxa" w:w="60"/>
              <w:right w:type="dxa" w:w="80"/>
            </w:tcMar>
          </w:tcPr>
          <w:p>
            <w:r>
              <w:rPr>
                <w:sz w:val="19"/>
                <w:szCs w:val="19"/>
              </w:rPr>
              <w:t xml:space="preserve">Shared multi-tenant (lower-cost tier)</w:t>
            </w:r>
          </w:p>
        </w:tc>
        <w:tc>
          <w:tcPr>
            <w:tcW w:type="dxa" w:w="3800"/>
            <w:shd w:fill="DCE6F1" w:val="clear"/>
            <w:tcMar>
              <w:top w:type="dxa" w:w="60"/>
              <w:left w:type="dxa" w:w="80"/>
              <w:bottom w:type="dxa" w:w="60"/>
              <w:right w:type="dxa" w:w="80"/>
            </w:tcMar>
          </w:tcPr>
          <w:p>
            <w:r>
              <w:rPr>
                <w:sz w:val="19"/>
                <w:szCs w:val="19"/>
              </w:rPr>
              <w:t xml:space="preserve">Smaller NBFCs/fintechs in jurisdictions with lighter regulatory requirements</w:t>
            </w:r>
          </w:p>
        </w:tc>
        <w:tc>
          <w:tcPr>
            <w:tcW w:type="dxa" w:w="2600"/>
            <w:shd w:fill="DCE6F1" w:val="clear"/>
            <w:tcMar>
              <w:top w:type="dxa" w:w="60"/>
              <w:left w:type="dxa" w:w="80"/>
              <w:bottom w:type="dxa" w:w="60"/>
              <w:right w:type="dxa" w:w="80"/>
            </w:tcMar>
          </w:tcPr>
          <w:p>
            <w:r>
              <w:rPr>
                <w:sz w:val="19"/>
                <w:szCs w:val="19"/>
              </w:rPr>
              <w:t xml:space="preserve">Logical — tenant_id-based separation within shared infrastructure (Section 19.4)</w:t>
            </w:r>
          </w:p>
        </w:tc>
      </w:tr>
      <w:tr>
        <w:tc>
          <w:tcPr>
            <w:tcW w:type="dxa" w:w="2800"/>
            <w:shd w:fill="FFFFFF" w:val="clear"/>
            <w:tcMar>
              <w:top w:type="dxa" w:w="60"/>
              <w:left w:type="dxa" w:w="80"/>
              <w:bottom w:type="dxa" w:w="60"/>
              <w:right w:type="dxa" w:w="80"/>
            </w:tcMar>
          </w:tcPr>
          <w:p>
            <w:r>
              <w:rPr>
                <w:sz w:val="19"/>
                <w:szCs w:val="19"/>
              </w:rPr>
              <w:t xml:space="preserve">On-premise, within the bank's own data center</w:t>
            </w:r>
          </w:p>
        </w:tc>
        <w:tc>
          <w:tcPr>
            <w:tcW w:type="dxa" w:w="3800"/>
            <w:shd w:fill="FFFFFF" w:val="clear"/>
            <w:tcMar>
              <w:top w:type="dxa" w:w="60"/>
              <w:left w:type="dxa" w:w="80"/>
              <w:bottom w:type="dxa" w:w="60"/>
              <w:right w:type="dxa" w:w="80"/>
            </w:tcMar>
          </w:tcPr>
          <w:p>
            <w:r>
              <w:rPr>
                <w:sz w:val="19"/>
                <w:szCs w:val="19"/>
              </w:rPr>
              <w:t xml:space="preserve">Clients whose regulator or internal policy requires infrastructure the bank itself controls</w:t>
            </w:r>
          </w:p>
        </w:tc>
        <w:tc>
          <w:tcPr>
            <w:tcW w:type="dxa" w:w="2600"/>
            <w:shd w:fill="FFFFFF" w:val="clear"/>
            <w:tcMar>
              <w:top w:type="dxa" w:w="60"/>
              <w:left w:type="dxa" w:w="80"/>
              <w:bottom w:type="dxa" w:w="60"/>
              <w:right w:type="dxa" w:w="80"/>
            </w:tcMar>
          </w:tcPr>
          <w:p>
            <w:r>
              <w:rPr>
                <w:sz w:val="19"/>
                <w:szCs w:val="19"/>
              </w:rPr>
              <w:t xml:space="preserve">Full — client-owned infrastructure, vendor-packaged deployable artifact (Section 24.3)</w:t>
            </w:r>
          </w:p>
        </w:tc>
      </w:tr>
    </w:tbl>
    <w:p>
      <w:pPr>
        <w:pStyle w:val="Heading2"/>
        <w:keepNext/>
        <w:spacing w:after="140" w:before="320"/>
      </w:pPr>
      <w:r>
        <w:rPr>
          <w:b/>
          <w:bCs/>
          <w:color w:val="2E5496"/>
          <w:sz w:val="26"/>
          <w:szCs w:val="26"/>
        </w:rPr>
        <w:t xml:space="preserve">24.3 Containerization &amp; Hosting Portability</w:t>
      </w:r>
    </w:p>
    <w:p>
      <w:pPr>
        <w:spacing w:after="160"/>
      </w:pPr>
      <w:r>
        <w:rPr>
          <w:sz w:val="21"/>
          <w:szCs w:val="21"/>
        </w:rPr>
        <w:t xml:space="preserve">The no-lock-in discipline already committed to at the database layer (Section 19.6) extends to hosting: the platform is packaged as container images (e.g., Docker) orchestrated by Kubernetes or a managed equivalent, so the IDENTICAL deployable artifact runs in a client's own cloud tenancy, the vendor's cloud, or fully on-premise — whichever the client's regulator or risk committee requires. This is what makes ‘dedicated instance per bank’ (Section 24.1) commercially viable instead of three different, bespoke hosting playbooks.</w:t>
      </w:r>
    </w:p>
    <w:p>
      <w:pPr>
        <w:pStyle w:val="Heading2"/>
        <w:keepNext/>
        <w:spacing w:after="140" w:before="320"/>
      </w:pPr>
      <w:r>
        <w:rPr>
          <w:b/>
          <w:bCs/>
          <w:color w:val="2E5496"/>
          <w:sz w:val="26"/>
          <w:szCs w:val="26"/>
        </w:rPr>
        <w:t xml:space="preserve">24.4 Release vs. Configuration Change — Two Independent Tracks</w:t>
      </w:r>
    </w:p>
    <w:p>
      <w:pPr>
        <w:spacing w:after="160"/>
      </w:pPr>
      <w:r>
        <w:rPr>
          <w:sz w:val="21"/>
          <w:szCs w:val="21"/>
        </w:rPr>
        <w:t xml:space="preserve">Conflating these two is how a low-code platform (Section 20) quietly turns back into ‘call the vendor for every change’ — keeping them explicitly separate is what preserves the self-sufficiency promise under real operating conditions: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600"/>
        <w:gridCol w:w="1600"/>
      </w:tblGrid>
      <w:tr>
        <w:trPr>
          <w:tblHeader/>
        </w:trPr>
        <w:tc>
          <w:tcPr>
            <w:tcW w:type="dxa" w:w="2000"/>
            <w:shd w:fill="1F3864" w:val="clear"/>
            <w:tcMar>
              <w:top w:type="dxa" w:w="60"/>
              <w:left w:type="dxa" w:w="80"/>
              <w:bottom w:type="dxa" w:w="60"/>
              <w:right w:type="dxa" w:w="80"/>
            </w:tcMar>
          </w:tcPr>
          <w:p>
            <w:r>
              <w:rPr>
                <w:b/>
                <w:bCs/>
                <w:color w:val="FFFFFF"/>
                <w:sz w:val="19"/>
                <w:szCs w:val="19"/>
              </w:rPr>
              <w:t xml:space="preserve">Track</w:t>
            </w:r>
          </w:p>
        </w:tc>
        <w:tc>
          <w:tcPr>
            <w:tcW w:type="dxa" w:w="3000"/>
            <w:shd w:fill="1F3864" w:val="clear"/>
            <w:tcMar>
              <w:top w:type="dxa" w:w="60"/>
              <w:left w:type="dxa" w:w="80"/>
              <w:bottom w:type="dxa" w:w="60"/>
              <w:right w:type="dxa" w:w="80"/>
            </w:tcMar>
          </w:tcPr>
          <w:p>
            <w:r>
              <w:rPr>
                <w:b/>
                <w:bCs/>
                <w:color w:val="FFFFFF"/>
                <w:sz w:val="19"/>
                <w:szCs w:val="19"/>
              </w:rPr>
              <w:t xml:space="preserve">What Changes</w:t>
            </w:r>
          </w:p>
        </w:tc>
        <w:tc>
          <w:tcPr>
            <w:tcW w:type="dxa" w:w="2600"/>
            <w:shd w:fill="1F3864" w:val="clear"/>
            <w:tcMar>
              <w:top w:type="dxa" w:w="60"/>
              <w:left w:type="dxa" w:w="80"/>
              <w:bottom w:type="dxa" w:w="60"/>
              <w:right w:type="dxa" w:w="80"/>
            </w:tcMar>
          </w:tcPr>
          <w:p>
            <w:r>
              <w:rPr>
                <w:b/>
                <w:bCs/>
                <w:color w:val="FFFFFF"/>
                <w:sz w:val="19"/>
                <w:szCs w:val="19"/>
              </w:rPr>
              <w:t xml:space="preserve">Pipeline</w:t>
            </w:r>
          </w:p>
        </w:tc>
        <w:tc>
          <w:tcPr>
            <w:tcW w:type="dxa" w:w="1600"/>
            <w:shd w:fill="1F3864" w:val="clear"/>
            <w:tcMar>
              <w:top w:type="dxa" w:w="60"/>
              <w:left w:type="dxa" w:w="80"/>
              <w:bottom w:type="dxa" w:w="60"/>
              <w:right w:type="dxa" w:w="80"/>
            </w:tcMar>
          </w:tcPr>
          <w:p>
            <w:r>
              <w:rPr>
                <w:b/>
                <w:bCs/>
                <w:color w:val="FFFFFF"/>
                <w:sz w:val="19"/>
                <w:szCs w:val="19"/>
              </w:rPr>
              <w:t xml:space="preserve">Who Triggers It</w:t>
            </w:r>
          </w:p>
        </w:tc>
      </w:tr>
      <w:tr>
        <w:tc>
          <w:tcPr>
            <w:tcW w:type="dxa" w:w="2000"/>
            <w:shd w:fill="FFFFFF" w:val="clear"/>
            <w:tcMar>
              <w:top w:type="dxa" w:w="60"/>
              <w:left w:type="dxa" w:w="80"/>
              <w:bottom w:type="dxa" w:w="60"/>
              <w:right w:type="dxa" w:w="80"/>
            </w:tcMar>
          </w:tcPr>
          <w:p>
            <w:r>
              <w:rPr>
                <w:sz w:val="19"/>
                <w:szCs w:val="19"/>
              </w:rPr>
              <w:t xml:space="preserve">Code Release</w:t>
            </w:r>
          </w:p>
        </w:tc>
        <w:tc>
          <w:tcPr>
            <w:tcW w:type="dxa" w:w="3000"/>
            <w:shd w:fill="FFFFFF" w:val="clear"/>
            <w:tcMar>
              <w:top w:type="dxa" w:w="60"/>
              <w:left w:type="dxa" w:w="80"/>
              <w:bottom w:type="dxa" w:w="60"/>
              <w:right w:type="dxa" w:w="80"/>
            </w:tcMar>
          </w:tcPr>
          <w:p>
            <w:r>
              <w:rPr>
                <w:sz w:val="19"/>
                <w:szCs w:val="19"/>
              </w:rPr>
              <w:t xml:space="preserve">Platform application code itself — new capabilities, bug fixes</w:t>
            </w:r>
          </w:p>
        </w:tc>
        <w:tc>
          <w:tcPr>
            <w:tcW w:type="dxa" w:w="2600"/>
            <w:shd w:fill="FFFFFF" w:val="clear"/>
            <w:tcMar>
              <w:top w:type="dxa" w:w="60"/>
              <w:left w:type="dxa" w:w="80"/>
              <w:bottom w:type="dxa" w:w="60"/>
              <w:right w:type="dxa" w:w="80"/>
            </w:tcMar>
          </w:tcPr>
          <w:p>
            <w:r>
              <w:rPr>
                <w:sz w:val="19"/>
                <w:szCs w:val="19"/>
              </w:rPr>
              <w:t xml:space="preserve">Dev → UAT → Production, versioned, tested; identical code promoted to every tenant on that version</w:t>
            </w:r>
          </w:p>
        </w:tc>
        <w:tc>
          <w:tcPr>
            <w:tcW w:type="dxa" w:w="1600"/>
            <w:shd w:fill="FFFFFF" w:val="clear"/>
            <w:tcMar>
              <w:top w:type="dxa" w:w="60"/>
              <w:left w:type="dxa" w:w="80"/>
              <w:bottom w:type="dxa" w:w="60"/>
              <w:right w:type="dxa" w:w="80"/>
            </w:tcMar>
          </w:tcPr>
          <w:p>
            <w:r>
              <w:rPr>
                <w:sz w:val="19"/>
                <w:szCs w:val="19"/>
              </w:rPr>
              <w:t xml:space="preserve">Vendor engineering team</w:t>
            </w:r>
          </w:p>
        </w:tc>
      </w:tr>
      <w:tr>
        <w:tc>
          <w:tcPr>
            <w:tcW w:type="dxa" w:w="2000"/>
            <w:shd w:fill="DCE6F1" w:val="clear"/>
            <w:tcMar>
              <w:top w:type="dxa" w:w="60"/>
              <w:left w:type="dxa" w:w="80"/>
              <w:bottom w:type="dxa" w:w="60"/>
              <w:right w:type="dxa" w:w="80"/>
            </w:tcMar>
          </w:tcPr>
          <w:p>
            <w:r>
              <w:rPr>
                <w:sz w:val="19"/>
                <w:szCs w:val="19"/>
              </w:rPr>
              <w:t xml:space="preserve">Configuration Change</w:t>
            </w:r>
          </w:p>
        </w:tc>
        <w:tc>
          <w:tcPr>
            <w:tcW w:type="dxa" w:w="3000"/>
            <w:shd w:fill="DCE6F1" w:val="clear"/>
            <w:tcMar>
              <w:top w:type="dxa" w:w="60"/>
              <w:left w:type="dxa" w:w="80"/>
              <w:bottom w:type="dxa" w:w="60"/>
              <w:right w:type="dxa" w:w="80"/>
            </w:tcMar>
          </w:tcPr>
          <w:p>
            <w:r>
              <w:rPr>
                <w:sz w:val="19"/>
                <w:szCs w:val="19"/>
              </w:rPr>
              <w:t xml:space="preserve">A bank's own fields, rules, workflow, regulatory parameters (Section 18)</w:t>
            </w:r>
          </w:p>
        </w:tc>
        <w:tc>
          <w:tcPr>
            <w:tcW w:type="dxa" w:w="2600"/>
            <w:shd w:fill="DCE6F1" w:val="clear"/>
            <w:tcMar>
              <w:top w:type="dxa" w:w="60"/>
              <w:left w:type="dxa" w:w="80"/>
              <w:bottom w:type="dxa" w:w="60"/>
              <w:right w:type="dxa" w:w="80"/>
            </w:tcMar>
          </w:tcPr>
          <w:p>
            <w:r>
              <w:rPr>
                <w:sz w:val="19"/>
                <w:szCs w:val="19"/>
              </w:rPr>
              <w:t xml:space="preserve">Sandbox → Production, entirely WITHIN that tenant's own instance (Sections 19.4, 20.5)</w:t>
            </w:r>
          </w:p>
        </w:tc>
        <w:tc>
          <w:tcPr>
            <w:tcW w:type="dxa" w:w="1600"/>
            <w:shd w:fill="DCE6F1" w:val="clear"/>
            <w:tcMar>
              <w:top w:type="dxa" w:w="60"/>
              <w:left w:type="dxa" w:w="80"/>
              <w:bottom w:type="dxa" w:w="60"/>
              <w:right w:type="dxa" w:w="80"/>
            </w:tcMar>
          </w:tcPr>
          <w:p>
            <w:r>
              <w:rPr>
                <w:sz w:val="19"/>
                <w:szCs w:val="19"/>
              </w:rPr>
              <w:t xml:space="preserve">The bank's own Configuration Admin — no vendor involvement required</w:t>
            </w:r>
          </w:p>
        </w:tc>
      </w:tr>
    </w:tbl>
    <w:p>
      <w:pPr>
        <w:pStyle w:val="Heading2"/>
        <w:keepNext/>
        <w:spacing w:after="140" w:before="320"/>
      </w:pPr>
      <w:r>
        <w:rPr>
          <w:b/>
          <w:bCs/>
          <w:color w:val="2E5496"/>
          <w:sz w:val="26"/>
          <w:szCs w:val="26"/>
        </w:rPr>
        <w:t xml:space="preserve">24.5 Data Residency</w:t>
      </w:r>
    </w:p>
    <w:p>
      <w:pPr>
        <w:spacing w:after="160"/>
      </w:pPr>
      <w:r>
        <w:rPr>
          <w:sz w:val="21"/>
          <w:szCs w:val="21"/>
        </w:rPr>
        <w:t xml:space="preserve">Which region or country a tenant's instance runs in is an explicit, deliberate onboarding decision (Section 18.9) — treated with the same seriousness as currency or regulatory threshold configuration (Sections 9, 18.4), never an infrastructure default nobody consciously chose.</w:t>
      </w:r>
    </w:p>
    <w:p>
      <w:pPr>
        <w:pStyle w:val="Heading2"/>
        <w:keepNext/>
        <w:spacing w:after="140" w:before="320"/>
      </w:pPr>
      <w:r>
        <w:rPr>
          <w:b/>
          <w:bCs/>
          <w:color w:val="2E5496"/>
          <w:sz w:val="26"/>
          <w:szCs w:val="26"/>
        </w:rPr>
        <w:t xml:space="preserve">24.6 High Availability &amp; Disaster Recovery</w:t>
      </w:r>
    </w:p>
    <w:p>
      <w:pPr>
        <w:pStyle w:val="ListParagraph"/>
        <w:numPr>
          <w:ilvl w:val="0"/>
          <w:numId w:val="2"/>
        </w:numPr>
        <w:spacing w:after="80"/>
      </w:pPr>
      <w:r>
        <w:rPr>
          <w:sz w:val="21"/>
          <w:szCs w:val="21"/>
        </w:rPr>
        <w:t xml:space="preserve">Recovery Time Objective (RTO) and Recovery Point Objective (RPO) are defined per deployment tier (Section 18.9) — a production banking tenant warrants tighter targets than a sandbox/UAT environment.</w:t>
      </w:r>
    </w:p>
    <w:p>
      <w:pPr>
        <w:pStyle w:val="ListParagraph"/>
        <w:numPr>
          <w:ilvl w:val="0"/>
          <w:numId w:val="2"/>
        </w:numPr>
        <w:spacing w:after="80"/>
      </w:pPr>
      <w:r>
        <w:rPr>
          <w:sz w:val="21"/>
          <w:szCs w:val="21"/>
        </w:rPr>
        <w:t xml:space="preserve">Multi-availability-zone (and multi-region, where required) replication for production tenants.</w:t>
      </w:r>
    </w:p>
    <w:p>
      <w:pPr>
        <w:pStyle w:val="ListParagraph"/>
        <w:numPr>
          <w:ilvl w:val="0"/>
          <w:numId w:val="2"/>
        </w:numPr>
        <w:spacing w:after="80"/>
      </w:pPr>
      <w:r>
        <w:rPr>
          <w:sz w:val="21"/>
          <w:szCs w:val="21"/>
        </w:rPr>
        <w:t xml:space="preserve">Backup cadence and retention period are themselves configuration items (Section 18.9), not hardcoded assumptions.</w:t>
      </w:r>
    </w:p>
    <w:p>
      <w:pPr>
        <w:pStyle w:val="Heading2"/>
        <w:keepNext/>
        <w:spacing w:after="140" w:before="320"/>
      </w:pPr>
      <w:r>
        <w:rPr>
          <w:b/>
          <w:bCs/>
          <w:color w:val="2E5496"/>
          <w:sz w:val="26"/>
          <w:szCs w:val="26"/>
        </w:rPr>
        <w:t xml:space="preserve">24.7 Observability &amp; Monitoring</w:t>
      </w:r>
    </w:p>
    <w:p>
      <w:pPr>
        <w:spacing w:after="160"/>
      </w:pPr>
      <w:r>
        <w:rPr>
          <w:sz w:val="21"/>
          <w:szCs w:val="21"/>
        </w:rPr>
        <w:t xml:space="preserve">Centralized monitoring (logging, metrics, alerting) operates across every deployed tenant instance for operational visibility — but strictly respects the same isolation boundary as the data itself: the operations team sees system health (uptime, error rates, performance), never cross-tenant business data. Monitoring access is itself role-gated, consistent with Section 12's field-level access control principle applied at the infrastructure layer.</w:t>
      </w:r>
    </w:p>
    <w:p>
      <w:pPr>
        <w:pStyle w:val="Heading2"/>
        <w:keepNext/>
        <w:spacing w:after="140" w:before="320"/>
      </w:pPr>
      <w:r>
        <w:rPr>
          <w:b/>
          <w:bCs/>
          <w:color w:val="2E5496"/>
          <w:sz w:val="26"/>
          <w:szCs w:val="26"/>
        </w:rPr>
        <w:t xml:space="preserve">24.8 Deployment Environments per Tenant</w:t>
      </w:r>
    </w:p>
    <w:p>
      <w:pPr>
        <w:spacing w:after="160"/>
      </w:pPr>
      <w:r>
        <w:rPr>
          <w:sz w:val="21"/>
          <w:szCs w:val="21"/>
        </w:rPr>
        <w:t xml:space="preserve">Every tenant instance carries, at minimum, three environments — Dev/Sandbox, UAT, and Production — so that the Section 19.4/20.5 configuration promotion pattern (build and test a field/rule/workflow change before it goes live) has somewhere to actually happen, independent of the vendor's own code release cycle (Section 24.4).</w:t>
      </w:r>
    </w:p>
    <w:p>
      <w:pPr>
        <w:spacing w:after="160"/>
        <w:ind w:left="360"/>
      </w:pPr>
      <w:r>
        <w:rPr>
          <w:i/>
          <w:iCs/>
          <w:color w:val="595959"/>
          <w:sz w:val="20"/>
          <w:szCs w:val="20"/>
        </w:rPr>
        <w:t xml:space="preserve">This naturally raises a follow-on question worth addressing separately: PACKAGING and IMPLEMENTATION — how a new tenant actually gets stood up end-to-end (environment provisioning, initial Section 18 configuration intake, data migration where applicable, go-live checklist, hypercare support). That is a distinct topic from deployment strategy and is a natural candidate for its own section.</w:t>
      </w:r>
    </w:p>
    <w:p>
      <w:pPr>
        <w:pStyle w:val="Heading1"/>
        <w:pageBreakBefore/>
        <w:spacing w:after="200" w:before="400"/>
      </w:pPr>
      <w:r>
        <w:rPr>
          <w:b/>
          <w:bCs/>
          <w:color w:val="1F3864"/>
          <w:sz w:val="32"/>
          <w:szCs w:val="32"/>
        </w:rPr>
        <w:t xml:space="preserve">25. Technology Stack &amp; Engineering Guardrails</w:t>
      </w:r>
    </w:p>
    <w:p>
      <w:pPr>
        <w:spacing w:after="160"/>
      </w:pPr>
      <w:r>
        <w:rPr>
          <w:sz w:val="21"/>
          <w:szCs w:val="21"/>
        </w:rPr>
        <w:t xml:space="preserve">This section records the technology decisions for the Creditum build. Each choice is judged against four requirements stated elsewhere in this document: database portability (Section 19.6), nothing hardcoded (Design Principles), deployability inside a bank’s own environment (Section 24), and audit/security readiness (Section 26).</w:t>
      </w:r>
    </w:p>
    <w:p>
      <w:pPr>
        <w:pStyle w:val="Heading2"/>
        <w:keepNext/>
        <w:spacing w:after="140" w:before="320"/>
      </w:pPr>
      <w:r>
        <w:rPr>
          <w:b/>
          <w:bCs/>
          <w:color w:val="2E5496"/>
          <w:sz w:val="26"/>
          <w:szCs w:val="26"/>
        </w:rPr>
        <w:t xml:space="preserve">25.1 Technology Stack</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100"/>
        <w:gridCol w:w="3300"/>
        <w:gridCol w:w="3900"/>
      </w:tblGrid>
      <w:tr>
        <w:trPr>
          <w:tblHeader/>
        </w:trPr>
        <w:tc>
          <w:tcPr>
            <w:tcW w:type="dxa" w:w="2100"/>
            <w:shd w:fill="1F3864" w:val="clear"/>
            <w:tcMar>
              <w:top w:type="dxa" w:w="60"/>
              <w:left w:type="dxa" w:w="80"/>
              <w:bottom w:type="dxa" w:w="60"/>
              <w:right w:type="dxa" w:w="80"/>
            </w:tcMar>
          </w:tcPr>
          <w:p>
            <w:r>
              <w:rPr>
                <w:b/>
                <w:bCs/>
                <w:color w:val="FFFFFF"/>
                <w:sz w:val="19"/>
                <w:szCs w:val="19"/>
              </w:rPr>
              <w:t xml:space="preserve">Layer</w:t>
            </w:r>
          </w:p>
        </w:tc>
        <w:tc>
          <w:tcPr>
            <w:tcW w:type="dxa" w:w="3300"/>
            <w:shd w:fill="1F3864" w:val="clear"/>
            <w:tcMar>
              <w:top w:type="dxa" w:w="60"/>
              <w:left w:type="dxa" w:w="80"/>
              <w:bottom w:type="dxa" w:w="60"/>
              <w:right w:type="dxa" w:w="80"/>
            </w:tcMar>
          </w:tcPr>
          <w:p>
            <w:r>
              <w:rPr>
                <w:b/>
                <w:bCs/>
                <w:color w:val="FFFFFF"/>
                <w:sz w:val="19"/>
                <w:szCs w:val="19"/>
              </w:rPr>
              <w:t xml:space="preserve">Choice</w:t>
            </w:r>
          </w:p>
        </w:tc>
        <w:tc>
          <w:tcPr>
            <w:tcW w:type="dxa" w:w="3900"/>
            <w:shd w:fill="1F3864" w:val="clear"/>
            <w:tcMar>
              <w:top w:type="dxa" w:w="60"/>
              <w:left w:type="dxa" w:w="80"/>
              <w:bottom w:type="dxa" w:w="60"/>
              <w:right w:type="dxa" w:w="80"/>
            </w:tcMar>
          </w:tcPr>
          <w:p>
            <w:r>
              <w:rPr>
                <w:b/>
                <w:bCs/>
                <w:color w:val="FFFFFF"/>
                <w:sz w:val="19"/>
                <w:szCs w:val="19"/>
              </w:rPr>
              <w:t xml:space="preserve">Why</w:t>
            </w:r>
          </w:p>
        </w:tc>
      </w:tr>
      <w:tr>
        <w:tc>
          <w:tcPr>
            <w:tcW w:type="dxa" w:w="2100"/>
            <w:shd w:fill="FFFFFF" w:val="clear"/>
            <w:tcMar>
              <w:top w:type="dxa" w:w="60"/>
              <w:left w:type="dxa" w:w="80"/>
              <w:bottom w:type="dxa" w:w="60"/>
              <w:right w:type="dxa" w:w="80"/>
            </w:tcMar>
          </w:tcPr>
          <w:p>
            <w:r>
              <w:rPr>
                <w:sz w:val="19"/>
                <w:szCs w:val="19"/>
              </w:rPr>
              <w:t xml:space="preserve">Language</w:t>
            </w:r>
          </w:p>
        </w:tc>
        <w:tc>
          <w:tcPr>
            <w:tcW w:type="dxa" w:w="3300"/>
            <w:shd w:fill="FFFFFF" w:val="clear"/>
            <w:tcMar>
              <w:top w:type="dxa" w:w="60"/>
              <w:left w:type="dxa" w:w="80"/>
              <w:bottom w:type="dxa" w:w="60"/>
              <w:right w:type="dxa" w:w="80"/>
            </w:tcMar>
          </w:tcPr>
          <w:p>
            <w:r>
              <w:rPr>
                <w:sz w:val="19"/>
                <w:szCs w:val="19"/>
              </w:rPr>
              <w:t xml:space="preserve">TypeScript (strict mode), end to end</w:t>
            </w:r>
          </w:p>
        </w:tc>
        <w:tc>
          <w:tcPr>
            <w:tcW w:type="dxa" w:w="3900"/>
            <w:shd w:fill="FFFFFF" w:val="clear"/>
            <w:tcMar>
              <w:top w:type="dxa" w:w="60"/>
              <w:left w:type="dxa" w:w="80"/>
              <w:bottom w:type="dxa" w:w="60"/>
              <w:right w:type="dxa" w:w="80"/>
            </w:tcMar>
          </w:tcPr>
          <w:p>
            <w:r>
              <w:rPr>
                <w:sz w:val="19"/>
                <w:szCs w:val="19"/>
              </w:rPr>
              <w:t xml:space="preserve">One language across API and UI for a small team; static typing catches whole classes of defects before runtime</w:t>
            </w:r>
          </w:p>
        </w:tc>
      </w:tr>
      <w:tr>
        <w:tc>
          <w:tcPr>
            <w:tcW w:type="dxa" w:w="2100"/>
            <w:shd w:fill="DCE6F1" w:val="clear"/>
            <w:tcMar>
              <w:top w:type="dxa" w:w="60"/>
              <w:left w:type="dxa" w:w="80"/>
              <w:bottom w:type="dxa" w:w="60"/>
              <w:right w:type="dxa" w:w="80"/>
            </w:tcMar>
          </w:tcPr>
          <w:p>
            <w:r>
              <w:rPr>
                <w:sz w:val="19"/>
                <w:szCs w:val="19"/>
              </w:rPr>
              <w:t xml:space="preserve">Backend / API</w:t>
            </w:r>
          </w:p>
        </w:tc>
        <w:tc>
          <w:tcPr>
            <w:tcW w:type="dxa" w:w="3300"/>
            <w:shd w:fill="DCE6F1" w:val="clear"/>
            <w:tcMar>
              <w:top w:type="dxa" w:w="60"/>
              <w:left w:type="dxa" w:w="80"/>
              <w:bottom w:type="dxa" w:w="60"/>
              <w:right w:type="dxa" w:w="80"/>
            </w:tcMar>
          </w:tcPr>
          <w:p>
            <w:r>
              <w:rPr>
                <w:sz w:val="19"/>
                <w:szCs w:val="19"/>
              </w:rPr>
              <w:t xml:space="preserve">Node.js (LTS) with NestJS</w:t>
            </w:r>
          </w:p>
        </w:tc>
        <w:tc>
          <w:tcPr>
            <w:tcW w:type="dxa" w:w="3900"/>
            <w:shd w:fill="DCE6F1" w:val="clear"/>
            <w:tcMar>
              <w:top w:type="dxa" w:w="60"/>
              <w:left w:type="dxa" w:w="80"/>
              <w:bottom w:type="dxa" w:w="60"/>
              <w:right w:type="dxa" w:w="80"/>
            </w:tcMar>
          </w:tcPr>
          <w:p>
            <w:r>
              <w:rPr>
                <w:sz w:val="19"/>
                <w:szCs w:val="19"/>
              </w:rPr>
              <w:t xml:space="preserve">Modular structure, dependency injection, and built-in guard/interceptor points for authentication, authorization, tenant scoping, and audit capture</w:t>
            </w:r>
          </w:p>
        </w:tc>
      </w:tr>
      <w:tr>
        <w:tc>
          <w:tcPr>
            <w:tcW w:type="dxa" w:w="2100"/>
            <w:shd w:fill="FFFFFF" w:val="clear"/>
            <w:tcMar>
              <w:top w:type="dxa" w:w="60"/>
              <w:left w:type="dxa" w:w="80"/>
              <w:bottom w:type="dxa" w:w="60"/>
              <w:right w:type="dxa" w:w="80"/>
            </w:tcMar>
          </w:tcPr>
          <w:p>
            <w:r>
              <w:rPr>
                <w:sz w:val="19"/>
                <w:szCs w:val="19"/>
              </w:rPr>
              <w:t xml:space="preserve">Web UI</w:t>
            </w:r>
          </w:p>
        </w:tc>
        <w:tc>
          <w:tcPr>
            <w:tcW w:type="dxa" w:w="3300"/>
            <w:shd w:fill="FFFFFF" w:val="clear"/>
            <w:tcMar>
              <w:top w:type="dxa" w:w="60"/>
              <w:left w:type="dxa" w:w="80"/>
              <w:bottom w:type="dxa" w:w="60"/>
              <w:right w:type="dxa" w:w="80"/>
            </w:tcMar>
          </w:tcPr>
          <w:p>
            <w:r>
              <w:rPr>
                <w:sz w:val="19"/>
                <w:szCs w:val="19"/>
              </w:rPr>
              <w:t xml:space="preserve">React with TypeScript</w:t>
            </w:r>
          </w:p>
        </w:tc>
        <w:tc>
          <w:tcPr>
            <w:tcW w:type="dxa" w:w="3900"/>
            <w:shd w:fill="FFFFFF" w:val="clear"/>
            <w:tcMar>
              <w:top w:type="dxa" w:w="60"/>
              <w:left w:type="dxa" w:w="80"/>
              <w:bottom w:type="dxa" w:w="60"/>
              <w:right w:type="dxa" w:w="80"/>
            </w:tcMar>
          </w:tcPr>
          <w:p>
            <w:r>
              <w:rPr>
                <w:sz w:val="19"/>
                <w:szCs w:val="19"/>
              </w:rPr>
              <w:t xml:space="preserve">Forms are rendered from Field Registry metadata (Section 19.1), not hand-coded per field</w:t>
            </w:r>
          </w:p>
        </w:tc>
      </w:tr>
      <w:tr>
        <w:tc>
          <w:tcPr>
            <w:tcW w:type="dxa" w:w="2100"/>
            <w:shd w:fill="DCE6F1" w:val="clear"/>
            <w:tcMar>
              <w:top w:type="dxa" w:w="60"/>
              <w:left w:type="dxa" w:w="80"/>
              <w:bottom w:type="dxa" w:w="60"/>
              <w:right w:type="dxa" w:w="80"/>
            </w:tcMar>
          </w:tcPr>
          <w:p>
            <w:r>
              <w:rPr>
                <w:sz w:val="19"/>
                <w:szCs w:val="19"/>
              </w:rPr>
              <w:t xml:space="preserve">Data access</w:t>
            </w:r>
          </w:p>
        </w:tc>
        <w:tc>
          <w:tcPr>
            <w:tcW w:type="dxa" w:w="3300"/>
            <w:shd w:fill="DCE6F1" w:val="clear"/>
            <w:tcMar>
              <w:top w:type="dxa" w:w="60"/>
              <w:left w:type="dxa" w:w="80"/>
              <w:bottom w:type="dxa" w:w="60"/>
              <w:right w:type="dxa" w:w="80"/>
            </w:tcMar>
          </w:tcPr>
          <w:p>
            <w:r>
              <w:rPr>
                <w:sz w:val="19"/>
                <w:szCs w:val="19"/>
              </w:rPr>
              <w:t xml:space="preserve">TypeORM</w:t>
            </w:r>
          </w:p>
        </w:tc>
        <w:tc>
          <w:tcPr>
            <w:tcW w:type="dxa" w:w="3900"/>
            <w:shd w:fill="DCE6F1" w:val="clear"/>
            <w:tcMar>
              <w:top w:type="dxa" w:w="60"/>
              <w:left w:type="dxa" w:w="80"/>
              <w:bottom w:type="dxa" w:w="60"/>
              <w:right w:type="dxa" w:w="80"/>
            </w:tcMar>
          </w:tcPr>
          <w:p>
            <w:r>
              <w:rPr>
                <w:sz w:val="19"/>
                <w:szCs w:val="19"/>
              </w:rPr>
              <w:t xml:space="preserve">Officially supports PostgreSQL, SQL Server, Oracle, and MySQL/MariaDB; per-engine migrations; parameterised queries by default</w:t>
            </w:r>
          </w:p>
        </w:tc>
      </w:tr>
      <w:tr>
        <w:tc>
          <w:tcPr>
            <w:tcW w:type="dxa" w:w="2100"/>
            <w:shd w:fill="FFFFFF" w:val="clear"/>
            <w:tcMar>
              <w:top w:type="dxa" w:w="60"/>
              <w:left w:type="dxa" w:w="80"/>
              <w:bottom w:type="dxa" w:w="60"/>
              <w:right w:type="dxa" w:w="80"/>
            </w:tcMar>
          </w:tcPr>
          <w:p>
            <w:r>
              <w:rPr>
                <w:sz w:val="19"/>
                <w:szCs w:val="19"/>
              </w:rPr>
              <w:t xml:space="preserve">Database</w:t>
            </w:r>
          </w:p>
        </w:tc>
        <w:tc>
          <w:tcPr>
            <w:tcW w:type="dxa" w:w="3300"/>
            <w:shd w:fill="FFFFFF" w:val="clear"/>
            <w:tcMar>
              <w:top w:type="dxa" w:w="60"/>
              <w:left w:type="dxa" w:w="80"/>
              <w:bottom w:type="dxa" w:w="60"/>
              <w:right w:type="dxa" w:w="80"/>
            </w:tcMar>
          </w:tcPr>
          <w:p>
            <w:r>
              <w:rPr>
                <w:sz w:val="19"/>
                <w:szCs w:val="19"/>
              </w:rPr>
              <w:t xml:space="preserve">PostgreSQL (reference); SQL Server and Oracle (supported, tested every build)</w:t>
            </w:r>
          </w:p>
        </w:tc>
        <w:tc>
          <w:tcPr>
            <w:tcW w:type="dxa" w:w="3900"/>
            <w:shd w:fill="FFFFFF" w:val="clear"/>
            <w:tcMar>
              <w:top w:type="dxa" w:w="60"/>
              <w:left w:type="dxa" w:w="80"/>
              <w:bottom w:type="dxa" w:w="60"/>
              <w:right w:type="dxa" w:w="80"/>
            </w:tcMar>
          </w:tcPr>
          <w:p>
            <w:r>
              <w:rPr>
                <w:sz w:val="19"/>
                <w:szCs w:val="19"/>
              </w:rPr>
              <w:t xml:space="preserve">Portability proven by test, not assumed (Section 19.6)</w:t>
            </w:r>
          </w:p>
        </w:tc>
      </w:tr>
      <w:tr>
        <w:tc>
          <w:tcPr>
            <w:tcW w:type="dxa" w:w="2100"/>
            <w:shd w:fill="DCE6F1" w:val="clear"/>
            <w:tcMar>
              <w:top w:type="dxa" w:w="60"/>
              <w:left w:type="dxa" w:w="80"/>
              <w:bottom w:type="dxa" w:w="60"/>
              <w:right w:type="dxa" w:w="80"/>
            </w:tcMar>
          </w:tcPr>
          <w:p>
            <w:r>
              <w:rPr>
                <w:sz w:val="19"/>
                <w:szCs w:val="19"/>
              </w:rPr>
              <w:t xml:space="preserve">Rules engine</w:t>
            </w:r>
          </w:p>
        </w:tc>
        <w:tc>
          <w:tcPr>
            <w:tcW w:type="dxa" w:w="3300"/>
            <w:shd w:fill="DCE6F1" w:val="clear"/>
            <w:tcMar>
              <w:top w:type="dxa" w:w="60"/>
              <w:left w:type="dxa" w:w="80"/>
              <w:bottom w:type="dxa" w:w="60"/>
              <w:right w:type="dxa" w:w="80"/>
            </w:tcMar>
          </w:tcPr>
          <w:p>
            <w:r>
              <w:rPr>
                <w:sz w:val="19"/>
                <w:szCs w:val="19"/>
              </w:rPr>
              <w:t xml:space="preserve">Creditum rules engine interpreting JSON condition → action definitions (JSON-Logic style)</w:t>
            </w:r>
          </w:p>
        </w:tc>
        <w:tc>
          <w:tcPr>
            <w:tcW w:type="dxa" w:w="3900"/>
            <w:shd w:fill="DCE6F1" w:val="clear"/>
            <w:tcMar>
              <w:top w:type="dxa" w:w="60"/>
              <w:left w:type="dxa" w:w="80"/>
              <w:bottom w:type="dxa" w:w="60"/>
              <w:right w:type="dxa" w:w="80"/>
            </w:tcMar>
          </w:tcPr>
          <w:p>
            <w:r>
              <w:rPr>
                <w:sz w:val="19"/>
                <w:szCs w:val="19"/>
              </w:rPr>
              <w:t xml:space="preserve">Portable, versionable, and directly renderable in the Visual Rule Builder (Section 20.2)</w:t>
            </w:r>
          </w:p>
        </w:tc>
      </w:tr>
      <w:tr>
        <w:tc>
          <w:tcPr>
            <w:tcW w:type="dxa" w:w="2100"/>
            <w:shd w:fill="FFFFFF" w:val="clear"/>
            <w:tcMar>
              <w:top w:type="dxa" w:w="60"/>
              <w:left w:type="dxa" w:w="80"/>
              <w:bottom w:type="dxa" w:w="60"/>
              <w:right w:type="dxa" w:w="80"/>
            </w:tcMar>
          </w:tcPr>
          <w:p>
            <w:r>
              <w:rPr>
                <w:sz w:val="19"/>
                <w:szCs w:val="19"/>
              </w:rPr>
              <w:t xml:space="preserve">Workflow engine</w:t>
            </w:r>
          </w:p>
        </w:tc>
        <w:tc>
          <w:tcPr>
            <w:tcW w:type="dxa" w:w="3300"/>
            <w:shd w:fill="FFFFFF" w:val="clear"/>
            <w:tcMar>
              <w:top w:type="dxa" w:w="60"/>
              <w:left w:type="dxa" w:w="80"/>
              <w:bottom w:type="dxa" w:w="60"/>
              <w:right w:type="dxa" w:w="80"/>
            </w:tcMar>
          </w:tcPr>
          <w:p>
            <w:r>
              <w:rPr>
                <w:sz w:val="19"/>
                <w:szCs w:val="19"/>
              </w:rPr>
              <w:t xml:space="preserve">Creditum state-machine engine interpreting Section 19.3 workflow definitions</w:t>
            </w:r>
          </w:p>
        </w:tc>
        <w:tc>
          <w:tcPr>
            <w:tcW w:type="dxa" w:w="3900"/>
            <w:shd w:fill="FFFFFF" w:val="clear"/>
            <w:tcMar>
              <w:top w:type="dxa" w:w="60"/>
              <w:left w:type="dxa" w:w="80"/>
              <w:bottom w:type="dxa" w:w="60"/>
              <w:right w:type="dxa" w:w="80"/>
            </w:tcMar>
          </w:tcPr>
          <w:p>
            <w:r>
              <w:rPr>
                <w:sz w:val="19"/>
                <w:szCs w:val="19"/>
              </w:rPr>
              <w:t xml:space="preserve">No external BPMN-engine dependency to license, host, or secure; BPMN export can be added if a client requires it</w:t>
            </w:r>
          </w:p>
        </w:tc>
      </w:tr>
      <w:tr>
        <w:tc>
          <w:tcPr>
            <w:tcW w:type="dxa" w:w="2100"/>
            <w:shd w:fill="DCE6F1" w:val="clear"/>
            <w:tcMar>
              <w:top w:type="dxa" w:w="60"/>
              <w:left w:type="dxa" w:w="80"/>
              <w:bottom w:type="dxa" w:w="60"/>
              <w:right w:type="dxa" w:w="80"/>
            </w:tcMar>
          </w:tcPr>
          <w:p>
            <w:r>
              <w:rPr>
                <w:sz w:val="19"/>
                <w:szCs w:val="19"/>
              </w:rPr>
              <w:t xml:space="preserve">Scheduler</w:t>
            </w:r>
          </w:p>
        </w:tc>
        <w:tc>
          <w:tcPr>
            <w:tcW w:type="dxa" w:w="3300"/>
            <w:shd w:fill="DCE6F1" w:val="clear"/>
            <w:tcMar>
              <w:top w:type="dxa" w:w="60"/>
              <w:left w:type="dxa" w:w="80"/>
              <w:bottom w:type="dxa" w:w="60"/>
              <w:right w:type="dxa" w:w="80"/>
            </w:tcMar>
          </w:tcPr>
          <w:p>
            <w:r>
              <w:rPr>
                <w:sz w:val="19"/>
                <w:szCs w:val="19"/>
              </w:rPr>
              <w:t xml:space="preserve">Database-backed job scheduler</w:t>
            </w:r>
          </w:p>
        </w:tc>
        <w:tc>
          <w:tcPr>
            <w:tcW w:type="dxa" w:w="3900"/>
            <w:shd w:fill="DCE6F1" w:val="clear"/>
            <w:tcMar>
              <w:top w:type="dxa" w:w="60"/>
              <w:left w:type="dxa" w:w="80"/>
              <w:bottom w:type="dxa" w:w="60"/>
              <w:right w:type="dxa" w:w="80"/>
            </w:tcMar>
          </w:tcPr>
          <w:p>
            <w:r>
              <w:rPr>
                <w:sz w:val="19"/>
                <w:szCs w:val="19"/>
              </w:rPr>
              <w:t xml:space="preserve">Date-driven processes (Section 23.4) with no extra infrastructure dependency that would complicate on-premise deployment</w:t>
            </w:r>
          </w:p>
        </w:tc>
      </w:tr>
      <w:tr>
        <w:tc>
          <w:tcPr>
            <w:tcW w:type="dxa" w:w="2100"/>
            <w:shd w:fill="FFFFFF" w:val="clear"/>
            <w:tcMar>
              <w:top w:type="dxa" w:w="60"/>
              <w:left w:type="dxa" w:w="80"/>
              <w:bottom w:type="dxa" w:w="60"/>
              <w:right w:type="dxa" w:w="80"/>
            </w:tcMar>
          </w:tcPr>
          <w:p>
            <w:r>
              <w:rPr>
                <w:sz w:val="19"/>
                <w:szCs w:val="19"/>
              </w:rPr>
              <w:t xml:space="preserve">Money &amp; rates</w:t>
            </w:r>
          </w:p>
        </w:tc>
        <w:tc>
          <w:tcPr>
            <w:tcW w:type="dxa" w:w="3300"/>
            <w:shd w:fill="FFFFFF" w:val="clear"/>
            <w:tcMar>
              <w:top w:type="dxa" w:w="60"/>
              <w:left w:type="dxa" w:w="80"/>
              <w:bottom w:type="dxa" w:w="60"/>
              <w:right w:type="dxa" w:w="80"/>
            </w:tcMar>
          </w:tcPr>
          <w:p>
            <w:r>
              <w:rPr>
                <w:sz w:val="19"/>
                <w:szCs w:val="19"/>
              </w:rPr>
              <w:t xml:space="preserve">Decimal arithmetic library in code; DECIMAL(precision, scale) columns in the database</w:t>
            </w:r>
          </w:p>
        </w:tc>
        <w:tc>
          <w:tcPr>
            <w:tcW w:type="dxa" w:w="3900"/>
            <w:shd w:fill="FFFFFF" w:val="clear"/>
            <w:tcMar>
              <w:top w:type="dxa" w:w="60"/>
              <w:left w:type="dxa" w:w="80"/>
              <w:bottom w:type="dxa" w:w="60"/>
              <w:right w:type="dxa" w:w="80"/>
            </w:tcMar>
          </w:tcPr>
          <w:p>
            <w:r>
              <w:rPr>
                <w:sz w:val="19"/>
                <w:szCs w:val="19"/>
              </w:rPr>
              <w:t xml:space="preserve">Floating-point numbers lose precision and are never used for amounts, rates, or ratios (Section 26.1)</w:t>
            </w:r>
          </w:p>
        </w:tc>
      </w:tr>
      <w:tr>
        <w:tc>
          <w:tcPr>
            <w:tcW w:type="dxa" w:w="2100"/>
            <w:shd w:fill="DCE6F1" w:val="clear"/>
            <w:tcMar>
              <w:top w:type="dxa" w:w="60"/>
              <w:left w:type="dxa" w:w="80"/>
              <w:bottom w:type="dxa" w:w="60"/>
              <w:right w:type="dxa" w:w="80"/>
            </w:tcMar>
          </w:tcPr>
          <w:p>
            <w:r>
              <w:rPr>
                <w:sz w:val="19"/>
                <w:szCs w:val="19"/>
              </w:rPr>
              <w:t xml:space="preserve">Identity</w:t>
            </w:r>
          </w:p>
        </w:tc>
        <w:tc>
          <w:tcPr>
            <w:tcW w:type="dxa" w:w="3300"/>
            <w:shd w:fill="DCE6F1" w:val="clear"/>
            <w:tcMar>
              <w:top w:type="dxa" w:w="60"/>
              <w:left w:type="dxa" w:w="80"/>
              <w:bottom w:type="dxa" w:w="60"/>
              <w:right w:type="dxa" w:w="80"/>
            </w:tcMar>
          </w:tcPr>
          <w:p>
            <w:r>
              <w:rPr>
                <w:sz w:val="19"/>
                <w:szCs w:val="19"/>
              </w:rPr>
              <w:t xml:space="preserve">OIDC and SAML 2.0 via the client’s Identity Provider</w:t>
            </w:r>
          </w:p>
        </w:tc>
        <w:tc>
          <w:tcPr>
            <w:tcW w:type="dxa" w:w="3900"/>
            <w:shd w:fill="DCE6F1" w:val="clear"/>
            <w:tcMar>
              <w:top w:type="dxa" w:w="60"/>
              <w:left w:type="dxa" w:w="80"/>
              <w:bottom w:type="dxa" w:w="60"/>
              <w:right w:type="dxa" w:w="80"/>
            </w:tcMar>
          </w:tcPr>
          <w:p>
            <w:r>
              <w:rPr>
                <w:sz w:val="19"/>
                <w:szCs w:val="19"/>
              </w:rPr>
              <w:t xml:space="preserve">Per Section 22; the platform authenticates through the IdP rather than reinventing identity</w:t>
            </w:r>
          </w:p>
        </w:tc>
      </w:tr>
      <w:tr>
        <w:tc>
          <w:tcPr>
            <w:tcW w:type="dxa" w:w="2100"/>
            <w:shd w:fill="FFFFFF" w:val="clear"/>
            <w:tcMar>
              <w:top w:type="dxa" w:w="60"/>
              <w:left w:type="dxa" w:w="80"/>
              <w:bottom w:type="dxa" w:w="60"/>
              <w:right w:type="dxa" w:w="80"/>
            </w:tcMar>
          </w:tcPr>
          <w:p>
            <w:r>
              <w:rPr>
                <w:sz w:val="19"/>
                <w:szCs w:val="19"/>
              </w:rPr>
              <w:t xml:space="preserve">AI layer</w:t>
            </w:r>
          </w:p>
        </w:tc>
        <w:tc>
          <w:tcPr>
            <w:tcW w:type="dxa" w:w="3300"/>
            <w:shd w:fill="FFFFFF" w:val="clear"/>
            <w:tcMar>
              <w:top w:type="dxa" w:w="60"/>
              <w:left w:type="dxa" w:w="80"/>
              <w:bottom w:type="dxa" w:w="60"/>
              <w:right w:type="dxa" w:w="80"/>
            </w:tcMar>
          </w:tcPr>
          <w:p>
            <w:r>
              <w:rPr>
                <w:sz w:val="19"/>
                <w:szCs w:val="19"/>
              </w:rPr>
              <w:t xml:space="preserve">Model-provider adapter</w:t>
            </w:r>
          </w:p>
        </w:tc>
        <w:tc>
          <w:tcPr>
            <w:tcW w:type="dxa" w:w="3900"/>
            <w:shd w:fill="FFFFFF" w:val="clear"/>
            <w:tcMar>
              <w:top w:type="dxa" w:w="60"/>
              <w:left w:type="dxa" w:w="80"/>
              <w:bottom w:type="dxa" w:w="60"/>
              <w:right w:type="dxa" w:w="80"/>
            </w:tcMar>
          </w:tcPr>
          <w:p>
            <w:r>
              <w:rPr>
                <w:sz w:val="19"/>
                <w:szCs w:val="19"/>
              </w:rPr>
              <w:t xml:space="preserve">Spreading, memo drafting, and advisory chat call models through an adapter, so a client can choose its provider or an on-premise model to meet data-residency rules</w:t>
            </w:r>
          </w:p>
        </w:tc>
      </w:tr>
      <w:tr>
        <w:tc>
          <w:tcPr>
            <w:tcW w:type="dxa" w:w="2100"/>
            <w:shd w:fill="DCE6F1" w:val="clear"/>
            <w:tcMar>
              <w:top w:type="dxa" w:w="60"/>
              <w:left w:type="dxa" w:w="80"/>
              <w:bottom w:type="dxa" w:w="60"/>
              <w:right w:type="dxa" w:w="80"/>
            </w:tcMar>
          </w:tcPr>
          <w:p>
            <w:r>
              <w:rPr>
                <w:sz w:val="19"/>
                <w:szCs w:val="19"/>
              </w:rPr>
              <w:t xml:space="preserve">Packaging</w:t>
            </w:r>
          </w:p>
        </w:tc>
        <w:tc>
          <w:tcPr>
            <w:tcW w:type="dxa" w:w="3300"/>
            <w:shd w:fill="DCE6F1" w:val="clear"/>
            <w:tcMar>
              <w:top w:type="dxa" w:w="60"/>
              <w:left w:type="dxa" w:w="80"/>
              <w:bottom w:type="dxa" w:w="60"/>
              <w:right w:type="dxa" w:w="80"/>
            </w:tcMar>
          </w:tcPr>
          <w:p>
            <w:r>
              <w:rPr>
                <w:sz w:val="19"/>
                <w:szCs w:val="19"/>
              </w:rPr>
              <w:t xml:space="preserve">Container images orchestrated by Kubernetes or a managed equivalent</w:t>
            </w:r>
          </w:p>
        </w:tc>
        <w:tc>
          <w:tcPr>
            <w:tcW w:type="dxa" w:w="3900"/>
            <w:shd w:fill="DCE6F1" w:val="clear"/>
            <w:tcMar>
              <w:top w:type="dxa" w:w="60"/>
              <w:left w:type="dxa" w:w="80"/>
              <w:bottom w:type="dxa" w:w="60"/>
              <w:right w:type="dxa" w:w="80"/>
            </w:tcMar>
          </w:tcPr>
          <w:p>
            <w:r>
              <w:rPr>
                <w:sz w:val="19"/>
                <w:szCs w:val="19"/>
              </w:rPr>
              <w:t xml:space="preserve">The same artifact runs in the client’s cloud, the vendor’s cloud, or on-premise (Section 24.3)</w:t>
            </w:r>
          </w:p>
        </w:tc>
      </w:tr>
    </w:tbl>
    <w:p>
      <w:pPr>
        <w:spacing w:after="120"/>
      </w:pPr>
    </w:p>
    <w:p>
      <w:pPr>
        <w:pStyle w:val="Heading2"/>
        <w:keepNext/>
        <w:spacing w:after="140" w:before="320"/>
      </w:pPr>
      <w:r>
        <w:rPr>
          <w:b/>
          <w:bCs/>
          <w:color w:val="2E5496"/>
          <w:sz w:val="26"/>
          <w:szCs w:val="26"/>
        </w:rPr>
        <w:t xml:space="preserve">25.2 Code Organisation</w:t>
      </w:r>
    </w:p>
    <w:p>
      <w:pPr>
        <w:pStyle w:val="ListParagraph"/>
        <w:numPr>
          <w:ilvl w:val="0"/>
          <w:numId w:val="2"/>
        </w:numPr>
        <w:spacing w:after="80"/>
      </w:pPr>
      <w:r>
        <w:rPr>
          <w:sz w:val="21"/>
          <w:szCs w:val="21"/>
        </w:rPr>
        <w:t xml:space="preserve">A single repository containing the API, the web UI, the rules and workflow engines, adapters, and shared libraries, so a change and its tests are reviewed together.</w:t>
      </w:r>
    </w:p>
    <w:p>
      <w:pPr>
        <w:pStyle w:val="ListParagraph"/>
        <w:numPr>
          <w:ilvl w:val="0"/>
          <w:numId w:val="2"/>
        </w:numPr>
        <w:spacing w:after="80"/>
      </w:pPr>
      <w:r>
        <w:rPr>
          <w:sz w:val="21"/>
          <w:szCs w:val="21"/>
        </w:rPr>
        <w:t xml:space="preserve">Domain modules mirror Section 4 (Borrower Profile, Facility &amp; Collateral, Exposure &amp; Relationship, Business Profile, Financial Analysis, ESG, Credit Administration); each module reads its fields from the registry.</w:t>
      </w:r>
    </w:p>
    <w:p>
      <w:pPr>
        <w:pStyle w:val="ListParagraph"/>
        <w:numPr>
          <w:ilvl w:val="0"/>
          <w:numId w:val="2"/>
        </w:numPr>
        <w:spacing w:after="80"/>
      </w:pPr>
      <w:r>
        <w:rPr>
          <w:sz w:val="21"/>
          <w:szCs w:val="21"/>
        </w:rPr>
        <w:t xml:space="preserve">Adapters (Section 11.1) live in their own packages behind a common interface; a client-specific adapter never changes core code.</w:t>
      </w:r>
    </w:p>
    <w:p>
      <w:pPr>
        <w:pStyle w:val="Heading2"/>
        <w:keepNext/>
        <w:spacing w:after="140" w:before="320"/>
      </w:pPr>
      <w:r>
        <w:rPr>
          <w:b/>
          <w:bCs/>
          <w:color w:val="2E5496"/>
          <w:sz w:val="26"/>
          <w:szCs w:val="26"/>
        </w:rPr>
        <w:t xml:space="preserve">25.3 Why TypeScript Rather Than Java</w:t>
      </w:r>
    </w:p>
    <w:p>
      <w:pPr>
        <w:pBdr>
          <w:top w:val="single" w:color="2E5496" w:sz="4"/>
          <w:bottom w:val="single" w:color="2E5496" w:sz="4"/>
          <w:left w:val="single" w:color="2E5496" w:sz="4"/>
          <w:right w:val="single" w:color="2E5496" w:sz="4"/>
        </w:pBdr>
        <w:shd w:fill="DCE6F1" w:val="clear"/>
        <w:spacing w:after="200" w:before="120"/>
        <w:ind w:left="200" w:right="200"/>
      </w:pPr>
      <w:r>
        <w:rPr>
          <w:b/>
          <w:bCs/>
          <w:color w:val="1F3864"/>
          <w:sz w:val="21"/>
          <w:szCs w:val="21"/>
        </w:rPr>
        <w:t xml:space="preserve">An Honest Comparison — </w:t>
      </w:r>
      <w:r>
        <w:rPr>
          <w:sz w:val="21"/>
          <w:szCs w:val="21"/>
        </w:rPr>
        <w:t xml:space="preserve">Java with Hibernate has the longest track record for running one codebase on Oracle, SQL Server, PostgreSQL, and DB2, and some bank IT teams prefer it. TypeScript was chosen for team speed and for the AI-heavy parts of the product. Equivalent portability is achieved through the data-access layer and the every-engine test matrix (Section 19.6), not through the language. The main TypeScript-specific risk is the npm third-party package supply chain, which is controlled explicitly in Section 26.6.</w:t>
      </w:r>
    </w:p>
    <w:p>
      <w:pPr>
        <w:pStyle w:val="Heading2"/>
        <w:keepNext/>
        <w:spacing w:after="140" w:before="320"/>
      </w:pPr>
      <w:r>
        <w:rPr>
          <w:b/>
          <w:bCs/>
          <w:color w:val="2E5496"/>
          <w:sz w:val="26"/>
          <w:szCs w:val="26"/>
        </w:rPr>
        <w:t xml:space="preserve">25.4 Engineering Guardrails Enforced by the Build</w:t>
      </w:r>
    </w:p>
    <w:p>
      <w:pPr>
        <w:spacing w:after="160"/>
      </w:pPr>
      <w:r>
        <w:rPr>
          <w:sz w:val="21"/>
          <w:szCs w:val="21"/>
        </w:rPr>
        <w:t xml:space="preserve">Each guardrail below is an automated check in the build pipeline. A change that violates one cannot be merged; none relies on reviewer memory.</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3800"/>
        <w:gridCol w:w="3200"/>
      </w:tblGrid>
      <w:tr>
        <w:trPr>
          <w:tblHeader/>
        </w:trPr>
        <w:tc>
          <w:tcPr>
            <w:tcW w:type="dxa" w:w="2300"/>
            <w:shd w:fill="1F3864" w:val="clear"/>
            <w:tcMar>
              <w:top w:type="dxa" w:w="60"/>
              <w:left w:type="dxa" w:w="80"/>
              <w:bottom w:type="dxa" w:w="60"/>
              <w:right w:type="dxa" w:w="80"/>
            </w:tcMar>
          </w:tcPr>
          <w:p>
            <w:r>
              <w:rPr>
                <w:b/>
                <w:bCs/>
                <w:color w:val="FFFFFF"/>
                <w:sz w:val="19"/>
                <w:szCs w:val="19"/>
              </w:rPr>
              <w:t xml:space="preserve">Guardrail</w:t>
            </w:r>
          </w:p>
        </w:tc>
        <w:tc>
          <w:tcPr>
            <w:tcW w:type="dxa" w:w="3800"/>
            <w:shd w:fill="1F3864" w:val="clear"/>
            <w:tcMar>
              <w:top w:type="dxa" w:w="60"/>
              <w:left w:type="dxa" w:w="80"/>
              <w:bottom w:type="dxa" w:w="60"/>
              <w:right w:type="dxa" w:w="80"/>
            </w:tcMar>
          </w:tcPr>
          <w:p>
            <w:r>
              <w:rPr>
                <w:b/>
                <w:bCs/>
                <w:color w:val="FFFFFF"/>
                <w:sz w:val="19"/>
                <w:szCs w:val="19"/>
              </w:rPr>
              <w:t xml:space="preserve">What It Blocks</w:t>
            </w:r>
          </w:p>
        </w:tc>
        <w:tc>
          <w:tcPr>
            <w:tcW w:type="dxa" w:w="3200"/>
            <w:shd w:fill="1F3864" w:val="clear"/>
            <w:tcMar>
              <w:top w:type="dxa" w:w="60"/>
              <w:left w:type="dxa" w:w="80"/>
              <w:bottom w:type="dxa" w:w="60"/>
              <w:right w:type="dxa" w:w="80"/>
            </w:tcMar>
          </w:tcPr>
          <w:p>
            <w:r>
              <w:rPr>
                <w:b/>
                <w:bCs/>
                <w:color w:val="FFFFFF"/>
                <w:sz w:val="19"/>
                <w:szCs w:val="19"/>
              </w:rPr>
              <w:t xml:space="preserve">How It Is Enforced</w:t>
            </w:r>
          </w:p>
        </w:tc>
      </w:tr>
      <w:tr>
        <w:tc>
          <w:tcPr>
            <w:tcW w:type="dxa" w:w="2300"/>
            <w:shd w:fill="FFFFFF" w:val="clear"/>
            <w:tcMar>
              <w:top w:type="dxa" w:w="60"/>
              <w:left w:type="dxa" w:w="80"/>
              <w:bottom w:type="dxa" w:w="60"/>
              <w:right w:type="dxa" w:w="80"/>
            </w:tcMar>
          </w:tcPr>
          <w:p>
            <w:r>
              <w:rPr>
                <w:sz w:val="19"/>
                <w:szCs w:val="19"/>
              </w:rPr>
              <w:t xml:space="preserve">No hardcoded currency</w:t>
            </w:r>
          </w:p>
        </w:tc>
        <w:tc>
          <w:tcPr>
            <w:tcW w:type="dxa" w:w="3800"/>
            <w:shd w:fill="FFFFFF" w:val="clear"/>
            <w:tcMar>
              <w:top w:type="dxa" w:w="60"/>
              <w:left w:type="dxa" w:w="80"/>
              <w:bottom w:type="dxa" w:w="60"/>
              <w:right w:type="dxa" w:w="80"/>
            </w:tcMar>
          </w:tcPr>
          <w:p>
            <w:r>
              <w:rPr>
                <w:sz w:val="19"/>
                <w:szCs w:val="19"/>
              </w:rPr>
              <w:t xml:space="preserve">Currency codes (ISO 4217 literals), currency symbols, and default-currency assumptions in application code</w:t>
            </w:r>
          </w:p>
        </w:tc>
        <w:tc>
          <w:tcPr>
            <w:tcW w:type="dxa" w:w="3200"/>
            <w:shd w:fill="FFFFFF" w:val="clear"/>
            <w:tcMar>
              <w:top w:type="dxa" w:w="60"/>
              <w:left w:type="dxa" w:w="80"/>
              <w:bottom w:type="dxa" w:w="60"/>
              <w:right w:type="dxa" w:w="80"/>
            </w:tcMar>
          </w:tcPr>
          <w:p>
            <w:r>
              <w:rPr>
                <w:sz w:val="19"/>
                <w:szCs w:val="19"/>
              </w:rPr>
              <w:t xml:space="preserve">Static analysis rule; currency always comes from tenant configuration or the record itself</w:t>
            </w:r>
          </w:p>
        </w:tc>
      </w:tr>
      <w:tr>
        <w:tc>
          <w:tcPr>
            <w:tcW w:type="dxa" w:w="2300"/>
            <w:shd w:fill="DCE6F1" w:val="clear"/>
            <w:tcMar>
              <w:top w:type="dxa" w:w="60"/>
              <w:left w:type="dxa" w:w="80"/>
              <w:bottom w:type="dxa" w:w="60"/>
              <w:right w:type="dxa" w:w="80"/>
            </w:tcMar>
          </w:tcPr>
          <w:p>
            <w:r>
              <w:rPr>
                <w:sz w:val="19"/>
                <w:szCs w:val="19"/>
              </w:rPr>
              <w:t xml:space="preserve">No hardcoded thresholds</w:t>
            </w:r>
          </w:p>
        </w:tc>
        <w:tc>
          <w:tcPr>
            <w:tcW w:type="dxa" w:w="3800"/>
            <w:shd w:fill="DCE6F1" w:val="clear"/>
            <w:tcMar>
              <w:top w:type="dxa" w:w="60"/>
              <w:left w:type="dxa" w:w="80"/>
              <w:bottom w:type="dxa" w:w="60"/>
              <w:right w:type="dxa" w:w="80"/>
            </w:tcMar>
          </w:tcPr>
          <w:p>
            <w:r>
              <w:rPr>
                <w:sz w:val="19"/>
                <w:szCs w:val="19"/>
              </w:rPr>
              <w:t xml:space="preserve">Numeric literals used as limits, ratios, tolerances, approval amounts, or retention periods in domain, rules, or validation code</w:t>
            </w:r>
          </w:p>
        </w:tc>
        <w:tc>
          <w:tcPr>
            <w:tcW w:type="dxa" w:w="3200"/>
            <w:shd w:fill="DCE6F1" w:val="clear"/>
            <w:tcMar>
              <w:top w:type="dxa" w:w="60"/>
              <w:left w:type="dxa" w:w="80"/>
              <w:bottom w:type="dxa" w:w="60"/>
              <w:right w:type="dxa" w:w="80"/>
            </w:tcMar>
          </w:tcPr>
          <w:p>
            <w:r>
              <w:rPr>
                <w:sz w:val="19"/>
                <w:szCs w:val="19"/>
              </w:rPr>
              <w:t xml:space="preserve">Static analysis rule; thresholds are read from configuration keys (Section 18)</w:t>
            </w:r>
          </w:p>
        </w:tc>
      </w:tr>
      <w:tr>
        <w:tc>
          <w:tcPr>
            <w:tcW w:type="dxa" w:w="2300"/>
            <w:shd w:fill="FFFFFF" w:val="clear"/>
            <w:tcMar>
              <w:top w:type="dxa" w:w="60"/>
              <w:left w:type="dxa" w:w="80"/>
              <w:bottom w:type="dxa" w:w="60"/>
              <w:right w:type="dxa" w:w="80"/>
            </w:tcMar>
          </w:tcPr>
          <w:p>
            <w:r>
              <w:rPr>
                <w:sz w:val="19"/>
                <w:szCs w:val="19"/>
              </w:rPr>
              <w:t xml:space="preserve">No floating-point money</w:t>
            </w:r>
          </w:p>
        </w:tc>
        <w:tc>
          <w:tcPr>
            <w:tcW w:type="dxa" w:w="3800"/>
            <w:shd w:fill="FFFFFF" w:val="clear"/>
            <w:tcMar>
              <w:top w:type="dxa" w:w="60"/>
              <w:left w:type="dxa" w:w="80"/>
              <w:bottom w:type="dxa" w:w="60"/>
              <w:right w:type="dxa" w:w="80"/>
            </w:tcMar>
          </w:tcPr>
          <w:p>
            <w:r>
              <w:rPr>
                <w:sz w:val="19"/>
                <w:szCs w:val="19"/>
              </w:rPr>
              <w:t xml:space="preserve">Plain number types on any field typed Currency Amount, Rate, or Ratio in the Field Registry</w:t>
            </w:r>
          </w:p>
        </w:tc>
        <w:tc>
          <w:tcPr>
            <w:tcW w:type="dxa" w:w="3200"/>
            <w:shd w:fill="FFFFFF" w:val="clear"/>
            <w:tcMar>
              <w:top w:type="dxa" w:w="60"/>
              <w:left w:type="dxa" w:w="80"/>
              <w:bottom w:type="dxa" w:w="60"/>
              <w:right w:type="dxa" w:w="80"/>
            </w:tcMar>
          </w:tcPr>
          <w:p>
            <w:r>
              <w:rPr>
                <w:sz w:val="19"/>
                <w:szCs w:val="19"/>
              </w:rPr>
              <w:t xml:space="preserve">Type check plus static analysis rule; the decimal type is mandatory</w:t>
            </w:r>
          </w:p>
        </w:tc>
      </w:tr>
      <w:tr>
        <w:tc>
          <w:tcPr>
            <w:tcW w:type="dxa" w:w="2300"/>
            <w:shd w:fill="DCE6F1" w:val="clear"/>
            <w:tcMar>
              <w:top w:type="dxa" w:w="60"/>
              <w:left w:type="dxa" w:w="80"/>
              <w:bottom w:type="dxa" w:w="60"/>
              <w:right w:type="dxa" w:w="80"/>
            </w:tcMar>
          </w:tcPr>
          <w:p>
            <w:r>
              <w:rPr>
                <w:sz w:val="19"/>
                <w:szCs w:val="19"/>
              </w:rPr>
              <w:t xml:space="preserve">No vendor-specific SQL</w:t>
            </w:r>
          </w:p>
        </w:tc>
        <w:tc>
          <w:tcPr>
            <w:tcW w:type="dxa" w:w="3800"/>
            <w:shd w:fill="DCE6F1" w:val="clear"/>
            <w:tcMar>
              <w:top w:type="dxa" w:w="60"/>
              <w:left w:type="dxa" w:w="80"/>
              <w:bottom w:type="dxa" w:w="60"/>
              <w:right w:type="dxa" w:w="80"/>
            </w:tcMar>
          </w:tcPr>
          <w:p>
            <w:r>
              <w:rPr>
                <w:sz w:val="19"/>
                <w:szCs w:val="19"/>
              </w:rPr>
              <w:t xml:space="preserve">Raw SQL strings and engine-specific functions in application code</w:t>
            </w:r>
          </w:p>
        </w:tc>
        <w:tc>
          <w:tcPr>
            <w:tcW w:type="dxa" w:w="3200"/>
            <w:shd w:fill="DCE6F1" w:val="clear"/>
            <w:tcMar>
              <w:top w:type="dxa" w:w="60"/>
              <w:left w:type="dxa" w:w="80"/>
              <w:bottom w:type="dxa" w:w="60"/>
              <w:right w:type="dxa" w:w="80"/>
            </w:tcMar>
          </w:tcPr>
          <w:p>
            <w:r>
              <w:rPr>
                <w:sz w:val="19"/>
                <w:szCs w:val="19"/>
              </w:rPr>
              <w:t xml:space="preserve">Static analysis rule; queries only through the data-access layer</w:t>
            </w:r>
          </w:p>
        </w:tc>
      </w:tr>
      <w:tr>
        <w:tc>
          <w:tcPr>
            <w:tcW w:type="dxa" w:w="2300"/>
            <w:shd w:fill="FFFFFF" w:val="clear"/>
            <w:tcMar>
              <w:top w:type="dxa" w:w="60"/>
              <w:left w:type="dxa" w:w="80"/>
              <w:bottom w:type="dxa" w:w="60"/>
              <w:right w:type="dxa" w:w="80"/>
            </w:tcMar>
          </w:tcPr>
          <w:p>
            <w:r>
              <w:rPr>
                <w:sz w:val="19"/>
                <w:szCs w:val="19"/>
              </w:rPr>
              <w:t xml:space="preserve">No database-side logic</w:t>
            </w:r>
          </w:p>
        </w:tc>
        <w:tc>
          <w:tcPr>
            <w:tcW w:type="dxa" w:w="3800"/>
            <w:shd w:fill="FFFFFF" w:val="clear"/>
            <w:tcMar>
              <w:top w:type="dxa" w:w="60"/>
              <w:left w:type="dxa" w:w="80"/>
              <w:bottom w:type="dxa" w:w="60"/>
              <w:right w:type="dxa" w:w="80"/>
            </w:tcMar>
          </w:tcPr>
          <w:p>
            <w:r>
              <w:rPr>
                <w:sz w:val="19"/>
                <w:szCs w:val="19"/>
              </w:rPr>
              <w:t xml:space="preserve">Stored procedures and triggers in migrations</w:t>
            </w:r>
          </w:p>
        </w:tc>
        <w:tc>
          <w:tcPr>
            <w:tcW w:type="dxa" w:w="3200"/>
            <w:shd w:fill="FFFFFF" w:val="clear"/>
            <w:tcMar>
              <w:top w:type="dxa" w:w="60"/>
              <w:left w:type="dxa" w:w="80"/>
              <w:bottom w:type="dxa" w:w="60"/>
              <w:right w:type="dxa" w:w="80"/>
            </w:tcMar>
          </w:tcPr>
          <w:p>
            <w:r>
              <w:rPr>
                <w:sz w:val="19"/>
                <w:szCs w:val="19"/>
              </w:rPr>
              <w:t xml:space="preserve">Migration check in the pipeline</w:t>
            </w:r>
          </w:p>
        </w:tc>
      </w:tr>
      <w:tr>
        <w:tc>
          <w:tcPr>
            <w:tcW w:type="dxa" w:w="2300"/>
            <w:shd w:fill="DCE6F1" w:val="clear"/>
            <w:tcMar>
              <w:top w:type="dxa" w:w="60"/>
              <w:left w:type="dxa" w:w="80"/>
              <w:bottom w:type="dxa" w:w="60"/>
              <w:right w:type="dxa" w:w="80"/>
            </w:tcMar>
          </w:tcPr>
          <w:p>
            <w:r>
              <w:rPr>
                <w:sz w:val="19"/>
                <w:szCs w:val="19"/>
              </w:rPr>
              <w:t xml:space="preserve">Cross-engine correctness</w:t>
            </w:r>
          </w:p>
        </w:tc>
        <w:tc>
          <w:tcPr>
            <w:tcW w:type="dxa" w:w="3800"/>
            <w:shd w:fill="DCE6F1" w:val="clear"/>
            <w:tcMar>
              <w:top w:type="dxa" w:w="60"/>
              <w:left w:type="dxa" w:w="80"/>
              <w:bottom w:type="dxa" w:w="60"/>
              <w:right w:type="dxa" w:w="80"/>
            </w:tcMar>
          </w:tcPr>
          <w:p>
            <w:r>
              <w:rPr>
                <w:sz w:val="19"/>
                <w:szCs w:val="19"/>
              </w:rPr>
              <w:t xml:space="preserve">Changes that work on one database engine only</w:t>
            </w:r>
          </w:p>
        </w:tc>
        <w:tc>
          <w:tcPr>
            <w:tcW w:type="dxa" w:w="3200"/>
            <w:shd w:fill="DCE6F1" w:val="clear"/>
            <w:tcMar>
              <w:top w:type="dxa" w:w="60"/>
              <w:left w:type="dxa" w:w="80"/>
              <w:bottom w:type="dxa" w:w="60"/>
              <w:right w:type="dxa" w:w="80"/>
            </w:tcMar>
          </w:tcPr>
          <w:p>
            <w:r>
              <w:rPr>
                <w:sz w:val="19"/>
                <w:szCs w:val="19"/>
              </w:rPr>
              <w:t xml:space="preserve">Full test suite run against PostgreSQL, SQL Server, and Oracle on every build</w:t>
            </w:r>
          </w:p>
        </w:tc>
      </w:tr>
      <w:tr>
        <w:tc>
          <w:tcPr>
            <w:tcW w:type="dxa" w:w="2300"/>
            <w:shd w:fill="FFFFFF" w:val="clear"/>
            <w:tcMar>
              <w:top w:type="dxa" w:w="60"/>
              <w:left w:type="dxa" w:w="80"/>
              <w:bottom w:type="dxa" w:w="60"/>
              <w:right w:type="dxa" w:w="80"/>
            </w:tcMar>
          </w:tcPr>
          <w:p>
            <w:r>
              <w:rPr>
                <w:sz w:val="19"/>
                <w:szCs w:val="19"/>
              </w:rPr>
              <w:t xml:space="preserve">Tenant isolation</w:t>
            </w:r>
          </w:p>
        </w:tc>
        <w:tc>
          <w:tcPr>
            <w:tcW w:type="dxa" w:w="3800"/>
            <w:shd w:fill="FFFFFF" w:val="clear"/>
            <w:tcMar>
              <w:top w:type="dxa" w:w="60"/>
              <w:left w:type="dxa" w:w="80"/>
              <w:bottom w:type="dxa" w:w="60"/>
              <w:right w:type="dxa" w:w="80"/>
            </w:tcMar>
          </w:tcPr>
          <w:p>
            <w:r>
              <w:rPr>
                <w:sz w:val="19"/>
                <w:szCs w:val="19"/>
              </w:rPr>
              <w:t xml:space="preserve">Data access that is not scoped to the caller’s tenant</w:t>
            </w:r>
          </w:p>
        </w:tc>
        <w:tc>
          <w:tcPr>
            <w:tcW w:type="dxa" w:w="3200"/>
            <w:shd w:fill="FFFFFF" w:val="clear"/>
            <w:tcMar>
              <w:top w:type="dxa" w:w="60"/>
              <w:left w:type="dxa" w:w="80"/>
              <w:bottom w:type="dxa" w:w="60"/>
              <w:right w:type="dxa" w:w="80"/>
            </w:tcMar>
          </w:tcPr>
          <w:p>
            <w:r>
              <w:rPr>
                <w:sz w:val="19"/>
                <w:szCs w:val="19"/>
              </w:rPr>
              <w:t xml:space="preserve">Tenant scope applied centrally in the data-access layer, plus automated tests that attempt cross-tenant reads</w:t>
            </w:r>
          </w:p>
        </w:tc>
      </w:tr>
      <w:tr>
        <w:tc>
          <w:tcPr>
            <w:tcW w:type="dxa" w:w="2300"/>
            <w:shd w:fill="DCE6F1" w:val="clear"/>
            <w:tcMar>
              <w:top w:type="dxa" w:w="60"/>
              <w:left w:type="dxa" w:w="80"/>
              <w:bottom w:type="dxa" w:w="60"/>
              <w:right w:type="dxa" w:w="80"/>
            </w:tcMar>
          </w:tcPr>
          <w:p>
            <w:r>
              <w:rPr>
                <w:sz w:val="19"/>
                <w:szCs w:val="19"/>
              </w:rPr>
              <w:t xml:space="preserve">Security scanning</w:t>
            </w:r>
          </w:p>
        </w:tc>
        <w:tc>
          <w:tcPr>
            <w:tcW w:type="dxa" w:w="3800"/>
            <w:shd w:fill="DCE6F1" w:val="clear"/>
            <w:tcMar>
              <w:top w:type="dxa" w:w="60"/>
              <w:left w:type="dxa" w:w="80"/>
              <w:bottom w:type="dxa" w:w="60"/>
              <w:right w:type="dxa" w:w="80"/>
            </w:tcMar>
          </w:tcPr>
          <w:p>
            <w:r>
              <w:rPr>
                <w:sz w:val="19"/>
                <w:szCs w:val="19"/>
              </w:rPr>
              <w:t xml:space="preserve">Known-vulnerable dependencies, leaked secrets, insecure code patterns</w:t>
            </w:r>
          </w:p>
        </w:tc>
        <w:tc>
          <w:tcPr>
            <w:tcW w:type="dxa" w:w="3200"/>
            <w:shd w:fill="DCE6F1" w:val="clear"/>
            <w:tcMar>
              <w:top w:type="dxa" w:w="60"/>
              <w:left w:type="dxa" w:w="80"/>
              <w:bottom w:type="dxa" w:w="60"/>
              <w:right w:type="dxa" w:w="80"/>
            </w:tcMar>
          </w:tcPr>
          <w:p>
            <w:r>
              <w:rPr>
                <w:sz w:val="19"/>
                <w:szCs w:val="19"/>
              </w:rPr>
              <w:t xml:space="preserve">SAST, SCA, secret scanning, and container scanning on every change (Section 26.6)</w:t>
            </w:r>
          </w:p>
        </w:tc>
      </w:tr>
    </w:tbl>
    <w:p>
      <w:pPr>
        <w:spacing w:after="120"/>
      </w:pPr>
    </w:p>
    <w:p>
      <w:pPr>
        <w:pStyle w:val="Heading1"/>
        <w:pageBreakBefore/>
        <w:spacing w:after="200" w:before="400"/>
      </w:pPr>
      <w:r>
        <w:rPr>
          <w:b/>
          <w:bCs/>
          <w:color w:val="1F3864"/>
          <w:sz w:val="32"/>
          <w:szCs w:val="32"/>
        </w:rPr>
        <w:t xml:space="preserve">26. Security, Audit &amp; Data Integrity</w:t>
      </w:r>
    </w:p>
    <w:p>
      <w:pPr>
        <w:spacing w:after="160"/>
      </w:pPr>
      <w:r>
        <w:rPr>
          <w:sz w:val="21"/>
          <w:szCs w:val="21"/>
        </w:rPr>
        <w:t xml:space="preserve">A bank deploying Creditum will put it through a compliance audit, an independent penetration test, and, in most jurisdictions, regulator IT inspection. This section specifies the controls the product itself provides so that those reviews have a design to assess, and so that the controls exist from the first build rather than being added under deadline before go-live.</w:t>
      </w:r>
    </w:p>
    <w:p>
      <w:pPr>
        <w:pBdr>
          <w:top w:val="single" w:color="2E5496" w:sz="4"/>
          <w:bottom w:val="single" w:color="2E5496" w:sz="4"/>
          <w:left w:val="single" w:color="2E5496" w:sz="4"/>
          <w:right w:val="single" w:color="2E5496" w:sz="4"/>
        </w:pBdr>
        <w:shd w:fill="DCE6F1" w:val="clear"/>
        <w:spacing w:after="200" w:before="120"/>
        <w:ind w:left="200" w:right="200"/>
      </w:pPr>
      <w:r>
        <w:rPr>
          <w:b/>
          <w:bCs/>
          <w:color w:val="1F3864"/>
          <w:sz w:val="21"/>
          <w:szCs w:val="21"/>
        </w:rPr>
        <w:t xml:space="preserve">Compliance Is Designed, Not Bought — </w:t>
      </w:r>
      <w:r>
        <w:rPr>
          <w:sz w:val="21"/>
          <w:szCs w:val="21"/>
        </w:rPr>
        <w:t xml:space="preserve">no technology stack makes a system compliant by itself. Compliance comes from how the product is designed, built, and operated. Creditum provides the product-level controls below; organisational certifications (for example ISO/IEC 27001 or SOC 2) attach to Integrata as a company, and the formal penetration test is performed by an independent firm acceptable to the client.</w:t>
      </w:r>
    </w:p>
    <w:p>
      <w:pPr>
        <w:pStyle w:val="Heading2"/>
        <w:keepNext/>
        <w:spacing w:after="140" w:before="320"/>
      </w:pPr>
      <w:r>
        <w:rPr>
          <w:b/>
          <w:bCs/>
          <w:color w:val="2E5496"/>
          <w:sz w:val="26"/>
          <w:szCs w:val="26"/>
        </w:rPr>
        <w:t xml:space="preserve">26.1 Data Integrity</w:t>
      </w:r>
    </w:p>
    <w:p>
      <w:pPr>
        <w:pStyle w:val="ListParagraph"/>
        <w:numPr>
          <w:ilvl w:val="0"/>
          <w:numId w:val="2"/>
        </w:numPr>
        <w:spacing w:after="80"/>
      </w:pPr>
      <w:r>
        <w:rPr>
          <w:b/>
          <w:bCs/>
          <w:sz w:val="21"/>
          <w:szCs w:val="21"/>
        </w:rPr>
        <w:t xml:space="preserve">Exact decimal arithmetic.</w:t>
      </w:r>
      <w:r>
        <w:rPr>
          <w:sz w:val="21"/>
          <w:szCs w:val="21"/>
        </w:rPr>
        <w:t xml:space="preserve"> All amounts, rates, and ratios use decimal arithmetic in code and DECIMAL columns in the database; floating-point is prohibited and blocked by the build (Section 25.4). Rounding mode and scale are configuration per currency, not hardcoded.</w:t>
      </w:r>
    </w:p>
    <w:p>
      <w:pPr>
        <w:pStyle w:val="ListParagraph"/>
        <w:numPr>
          <w:ilvl w:val="0"/>
          <w:numId w:val="2"/>
        </w:numPr>
        <w:spacing w:after="80"/>
      </w:pPr>
      <w:r>
        <w:rPr>
          <w:b/>
          <w:bCs/>
          <w:sz w:val="21"/>
          <w:szCs w:val="21"/>
        </w:rPr>
        <w:t xml:space="preserve">Database-enforced constraints.</w:t>
      </w:r>
      <w:r>
        <w:rPr>
          <w:sz w:val="21"/>
          <w:szCs w:val="21"/>
        </w:rPr>
        <w:t xml:space="preserve"> Foreign keys, NOT NULL, unique, and check constraints are declared in the schema, so integrity holds even if an application check is bypassed.</w:t>
      </w:r>
    </w:p>
    <w:p>
      <w:pPr>
        <w:pStyle w:val="ListParagraph"/>
        <w:numPr>
          <w:ilvl w:val="0"/>
          <w:numId w:val="2"/>
        </w:numPr>
        <w:spacing w:after="80"/>
      </w:pPr>
      <w:r>
        <w:rPr>
          <w:b/>
          <w:bCs/>
          <w:sz w:val="21"/>
          <w:szCs w:val="21"/>
        </w:rPr>
        <w:t xml:space="preserve">Atomic business actions.</w:t>
      </w:r>
      <w:r>
        <w:rPr>
          <w:sz w:val="21"/>
          <w:szCs w:val="21"/>
        </w:rPr>
        <w:t xml:space="preserve"> Every business action (submit, approve, book, amend) executes as a single database transaction — it fully succeeds or leaves no trace.</w:t>
      </w:r>
    </w:p>
    <w:p>
      <w:pPr>
        <w:pStyle w:val="ListParagraph"/>
        <w:numPr>
          <w:ilvl w:val="0"/>
          <w:numId w:val="2"/>
        </w:numPr>
        <w:spacing w:after="80"/>
      </w:pPr>
      <w:r>
        <w:rPr>
          <w:b/>
          <w:bCs/>
          <w:sz w:val="21"/>
          <w:szCs w:val="21"/>
        </w:rPr>
        <w:t xml:space="preserve">No lost updates.</w:t>
      </w:r>
      <w:r>
        <w:rPr>
          <w:sz w:val="21"/>
          <w:szCs w:val="21"/>
        </w:rPr>
        <w:t xml:space="preserve"> Optimistic locking with a version number on every Credit Request and its child records; a stale save is rejected and the user sees what changed.</w:t>
      </w:r>
    </w:p>
    <w:p>
      <w:pPr>
        <w:pStyle w:val="ListParagraph"/>
        <w:numPr>
          <w:ilvl w:val="0"/>
          <w:numId w:val="2"/>
        </w:numPr>
        <w:spacing w:after="80"/>
      </w:pPr>
      <w:r>
        <w:rPr>
          <w:b/>
          <w:bCs/>
          <w:sz w:val="21"/>
          <w:szCs w:val="21"/>
        </w:rPr>
        <w:t xml:space="preserve">Idempotent operations.</w:t>
      </w:r>
      <w:r>
        <w:rPr>
          <w:sz w:val="21"/>
          <w:szCs w:val="21"/>
        </w:rPr>
        <w:t xml:space="preserve"> Submissions and integration calls carry idempotency keys, so a retried request is never processed twice.</w:t>
      </w:r>
    </w:p>
    <w:p>
      <w:pPr>
        <w:pStyle w:val="ListParagraph"/>
        <w:numPr>
          <w:ilvl w:val="0"/>
          <w:numId w:val="2"/>
        </w:numPr>
        <w:spacing w:after="80"/>
      </w:pPr>
      <w:r>
        <w:rPr>
          <w:b/>
          <w:bCs/>
          <w:sz w:val="21"/>
          <w:szCs w:val="21"/>
        </w:rPr>
        <w:t xml:space="preserve">Maker-checker.</w:t>
      </w:r>
      <w:r>
        <w:rPr>
          <w:sz w:val="21"/>
          <w:szCs w:val="21"/>
        </w:rPr>
        <w:t xml:space="preserve"> Enforced by the engine on booking (Credit Administration), on configuration changes (Section 19.4), and on any override; the maker can never be the checker.</w:t>
      </w:r>
    </w:p>
    <w:p>
      <w:pPr>
        <w:pStyle w:val="ListParagraph"/>
        <w:numPr>
          <w:ilvl w:val="0"/>
          <w:numId w:val="2"/>
        </w:numPr>
        <w:spacing w:after="80"/>
      </w:pPr>
      <w:r>
        <w:rPr>
          <w:b/>
          <w:bCs/>
          <w:sz w:val="21"/>
          <w:szCs w:val="21"/>
        </w:rPr>
        <w:t xml:space="preserve">Reproducible calculations.</w:t>
      </w:r>
      <w:r>
        <w:rPr>
          <w:sz w:val="21"/>
          <w:szCs w:val="21"/>
        </w:rPr>
        <w:t xml:space="preserve"> Every calculated value (coverage ratios, ROC/RAROC, pricing) is stored with its input values and the version of the formula and configuration used, so an auditor can reproduce any historical figure exactly.</w:t>
      </w:r>
    </w:p>
    <w:p>
      <w:pPr>
        <w:pStyle w:val="ListParagraph"/>
        <w:numPr>
          <w:ilvl w:val="0"/>
          <w:numId w:val="2"/>
        </w:numPr>
        <w:spacing w:after="80"/>
      </w:pPr>
      <w:r>
        <w:rPr>
          <w:b/>
          <w:bCs/>
          <w:sz w:val="21"/>
          <w:szCs w:val="21"/>
        </w:rPr>
        <w:t xml:space="preserve">Versioned records.</w:t>
      </w:r>
      <w:r>
        <w:rPr>
          <w:sz w:val="21"/>
          <w:szCs w:val="21"/>
        </w:rPr>
        <w:t xml:space="preserve"> Amendments follow the Section 14 versioning pattern; prior versions are retained, never overwritten.</w:t>
      </w:r>
    </w:p>
    <w:p>
      <w:pPr>
        <w:pStyle w:val="Heading2"/>
        <w:keepNext/>
        <w:spacing w:after="140" w:before="320"/>
      </w:pPr>
      <w:r>
        <w:rPr>
          <w:b/>
          <w:bCs/>
          <w:color w:val="2E5496"/>
          <w:sz w:val="26"/>
          <w:szCs w:val="26"/>
        </w:rPr>
        <w:t xml:space="preserve">26.2 Audit Trail</w:t>
      </w:r>
    </w:p>
    <w:p>
      <w:pPr>
        <w:pStyle w:val="ListParagraph"/>
        <w:numPr>
          <w:ilvl w:val="0"/>
          <w:numId w:val="2"/>
        </w:numPr>
        <w:spacing w:after="80"/>
      </w:pPr>
      <w:r>
        <w:rPr>
          <w:b/>
          <w:bCs/>
          <w:sz w:val="21"/>
          <w:szCs w:val="21"/>
        </w:rPr>
        <w:t xml:space="preserve">Append-only.</w:t>
      </w:r>
      <w:r>
        <w:rPr>
          <w:sz w:val="21"/>
          <w:szCs w:val="21"/>
        </w:rPr>
        <w:t xml:space="preserve"> The application exposes no update or delete path for audit records, and the database account used by the application has insert-only rights on the audit tables.</w:t>
      </w:r>
    </w:p>
    <w:p>
      <w:pPr>
        <w:pStyle w:val="ListParagraph"/>
        <w:numPr>
          <w:ilvl w:val="0"/>
          <w:numId w:val="2"/>
        </w:numPr>
        <w:spacing w:after="80"/>
      </w:pPr>
      <w:r>
        <w:rPr>
          <w:b/>
          <w:bCs/>
          <w:sz w:val="21"/>
          <w:szCs w:val="21"/>
        </w:rPr>
        <w:t xml:space="preserve">Tamper-evident.</w:t>
      </w:r>
      <w:r>
        <w:rPr>
          <w:sz w:val="21"/>
          <w:szCs w:val="21"/>
        </w:rPr>
        <w:t xml:space="preserve"> Each audit record carries a cryptographic hash of its own content and of the previous record, forming a chain; any alteration or deletion breaks the chain. This is implemented in application code, so it works identically on every supported database.</w:t>
      </w:r>
    </w:p>
    <w:p>
      <w:pPr>
        <w:pStyle w:val="ListParagraph"/>
        <w:numPr>
          <w:ilvl w:val="0"/>
          <w:numId w:val="2"/>
        </w:numPr>
        <w:spacing w:after="80"/>
      </w:pPr>
      <w:r>
        <w:rPr>
          <w:b/>
          <w:bCs/>
          <w:sz w:val="21"/>
          <w:szCs w:val="21"/>
        </w:rPr>
        <w:t xml:space="preserve">Complete.</w:t>
      </w:r>
      <w:r>
        <w:rPr>
          <w:sz w:val="21"/>
          <w:szCs w:val="21"/>
        </w:rPr>
        <w:t xml:space="preserve"> Who, what, when (UTC, from a synchronised clock), from where (IP address and session), and the before and after values — for data changes, workflow transitions, overrides, configuration changes, logins, permission changes, and access to designated sensitive fields.</w:t>
      </w:r>
    </w:p>
    <w:p>
      <w:pPr>
        <w:pStyle w:val="ListParagraph"/>
        <w:numPr>
          <w:ilvl w:val="0"/>
          <w:numId w:val="2"/>
        </w:numPr>
        <w:spacing w:after="80"/>
      </w:pPr>
      <w:r>
        <w:rPr>
          <w:b/>
          <w:bCs/>
          <w:sz w:val="21"/>
          <w:szCs w:val="21"/>
        </w:rPr>
        <w:t xml:space="preserve">Verifiable.</w:t>
      </w:r>
      <w:r>
        <w:rPr>
          <w:sz w:val="21"/>
          <w:szCs w:val="21"/>
        </w:rPr>
        <w:t xml:space="preserve"> A scheduled job verifies the hash chain and raises an alert on any break; auditors can run an on-demand verification report for any period.</w:t>
      </w:r>
    </w:p>
    <w:p>
      <w:pPr>
        <w:pStyle w:val="ListParagraph"/>
        <w:numPr>
          <w:ilvl w:val="0"/>
          <w:numId w:val="2"/>
        </w:numPr>
        <w:spacing w:after="80"/>
      </w:pPr>
      <w:r>
        <w:rPr>
          <w:b/>
          <w:bCs/>
          <w:sz w:val="21"/>
          <w:szCs w:val="21"/>
        </w:rPr>
        <w:t xml:space="preserve">Exportable.</w:t>
      </w:r>
      <w:r>
        <w:rPr>
          <w:sz w:val="21"/>
          <w:szCs w:val="21"/>
        </w:rPr>
        <w:t xml:space="preserve"> Audit and security events stream to the client’s SIEM in standard formats; retention periods are tenant configuration.</w:t>
      </w:r>
    </w:p>
    <w:p>
      <w:pPr>
        <w:pStyle w:val="Heading2"/>
        <w:keepNext/>
        <w:spacing w:after="140" w:before="320"/>
      </w:pPr>
      <w:r>
        <w:rPr>
          <w:b/>
          <w:bCs/>
          <w:color w:val="2E5496"/>
          <w:sz w:val="26"/>
          <w:szCs w:val="26"/>
        </w:rPr>
        <w:t xml:space="preserve">26.3 Authentication, Authorization &amp; Session Control</w:t>
      </w:r>
    </w:p>
    <w:p>
      <w:pPr>
        <w:pStyle w:val="ListParagraph"/>
        <w:numPr>
          <w:ilvl w:val="0"/>
          <w:numId w:val="2"/>
        </w:numPr>
        <w:spacing w:after="80"/>
      </w:pPr>
      <w:r>
        <w:rPr>
          <w:sz w:val="21"/>
          <w:szCs w:val="21"/>
        </w:rPr>
        <w:t xml:space="preserve">Authentication through the client’s Identity Provider (OIDC or SAML 2.0) with multi-factor authentication enforced at the IdP (Section 22).</w:t>
      </w:r>
    </w:p>
    <w:p>
      <w:pPr>
        <w:pStyle w:val="ListParagraph"/>
        <w:numPr>
          <w:ilvl w:val="0"/>
          <w:numId w:val="2"/>
        </w:numPr>
        <w:spacing w:after="80"/>
      </w:pPr>
      <w:r>
        <w:rPr>
          <w:sz w:val="21"/>
          <w:szCs w:val="21"/>
        </w:rPr>
        <w:t xml:space="preserve">Role-based access control enforced at the field level, with tenant isolation applied centrally in the data-access layer rather than by individual developer discipline.</w:t>
      </w:r>
    </w:p>
    <w:p>
      <w:pPr>
        <w:pStyle w:val="ListParagraph"/>
        <w:numPr>
          <w:ilvl w:val="0"/>
          <w:numId w:val="2"/>
        </w:numPr>
        <w:spacing w:after="80"/>
      </w:pPr>
      <w:r>
        <w:rPr>
          <w:sz w:val="21"/>
          <w:szCs w:val="21"/>
        </w:rPr>
        <w:t xml:space="preserve">Segregation of duties enforced by the engine: a configuration administrator cannot approve credit, and a maker cannot check their own work.</w:t>
      </w:r>
    </w:p>
    <w:p>
      <w:pPr>
        <w:pStyle w:val="ListParagraph"/>
        <w:numPr>
          <w:ilvl w:val="0"/>
          <w:numId w:val="2"/>
        </w:numPr>
        <w:spacing w:after="80"/>
      </w:pPr>
      <w:r>
        <w:rPr>
          <w:sz w:val="21"/>
          <w:szCs w:val="21"/>
        </w:rPr>
        <w:t xml:space="preserve">Configurable session timeout, re-authentication for sensitive actions, and control of concurrent sessions — all as tenant configuration.</w:t>
      </w:r>
    </w:p>
    <w:p>
      <w:pPr>
        <w:pStyle w:val="Heading2"/>
        <w:keepNext/>
        <w:spacing w:after="140" w:before="320"/>
      </w:pPr>
      <w:r>
        <w:rPr>
          <w:b/>
          <w:bCs/>
          <w:color w:val="2E5496"/>
          <w:sz w:val="26"/>
          <w:szCs w:val="26"/>
        </w:rPr>
        <w:t xml:space="preserve">26.4 Data Protection</w:t>
      </w:r>
    </w:p>
    <w:p>
      <w:pPr>
        <w:pStyle w:val="ListParagraph"/>
        <w:numPr>
          <w:ilvl w:val="0"/>
          <w:numId w:val="2"/>
        </w:numPr>
        <w:spacing w:after="80"/>
      </w:pPr>
      <w:r>
        <w:rPr>
          <w:sz w:val="21"/>
          <w:szCs w:val="21"/>
        </w:rPr>
        <w:t xml:space="preserve">Encryption in transit with TLS 1.2 or higher (TLS 1.3 preferred) on every connection, including internal service-to-service traffic.</w:t>
      </w:r>
    </w:p>
    <w:p>
      <w:pPr>
        <w:pStyle w:val="ListParagraph"/>
        <w:numPr>
          <w:ilvl w:val="0"/>
          <w:numId w:val="2"/>
        </w:numPr>
        <w:spacing w:after="80"/>
      </w:pPr>
      <w:r>
        <w:rPr>
          <w:sz w:val="21"/>
          <w:szCs w:val="21"/>
        </w:rPr>
        <w:t xml:space="preserve">Encryption at rest through the database engine’s own encryption or encrypted storage, plus application-level field encryption for personal and sensitive identifiers, with keys held in a key management service or hardware security module and rotated on a configured schedule.</w:t>
      </w:r>
    </w:p>
    <w:p>
      <w:pPr>
        <w:pStyle w:val="ListParagraph"/>
        <w:numPr>
          <w:ilvl w:val="0"/>
          <w:numId w:val="2"/>
        </w:numPr>
        <w:spacing w:after="80"/>
      </w:pPr>
      <w:r>
        <w:rPr>
          <w:sz w:val="21"/>
          <w:szCs w:val="21"/>
        </w:rPr>
        <w:t xml:space="preserve">Role-based masking of sensitive values in the UI and in exports.</w:t>
      </w:r>
    </w:p>
    <w:p>
      <w:pPr>
        <w:pStyle w:val="ListParagraph"/>
        <w:numPr>
          <w:ilvl w:val="0"/>
          <w:numId w:val="2"/>
        </w:numPr>
        <w:spacing w:after="80"/>
      </w:pPr>
      <w:r>
        <w:rPr>
          <w:sz w:val="21"/>
          <w:szCs w:val="21"/>
        </w:rPr>
        <w:t xml:space="preserve">No personal data or secrets written to application logs; secrets are held in a vault, never in code or configuration files.</w:t>
      </w:r>
    </w:p>
    <w:p>
      <w:pPr>
        <w:pStyle w:val="ListParagraph"/>
        <w:numPr>
          <w:ilvl w:val="0"/>
          <w:numId w:val="2"/>
        </w:numPr>
        <w:spacing w:after="80"/>
      </w:pPr>
      <w:r>
        <w:rPr>
          <w:sz w:val="21"/>
          <w:szCs w:val="21"/>
        </w:rPr>
        <w:t xml:space="preserve">Production data is never copied to non-production environments without masking.</w:t>
      </w:r>
    </w:p>
    <w:p>
      <w:pPr>
        <w:pStyle w:val="ListParagraph"/>
        <w:numPr>
          <w:ilvl w:val="0"/>
          <w:numId w:val="2"/>
        </w:numPr>
        <w:spacing w:after="80"/>
      </w:pPr>
      <w:r>
        <w:rPr>
          <w:sz w:val="21"/>
          <w:szCs w:val="21"/>
        </w:rPr>
        <w:t xml:space="preserve">Data residency per deployment (Section 24.5), and retention and purge rules per tenant configuration.</w:t>
      </w:r>
    </w:p>
    <w:p>
      <w:pPr>
        <w:pStyle w:val="Heading2"/>
        <w:keepNext/>
        <w:spacing w:after="140" w:before="320"/>
      </w:pPr>
      <w:r>
        <w:rPr>
          <w:b/>
          <w:bCs/>
          <w:color w:val="2E5496"/>
          <w:sz w:val="26"/>
          <w:szCs w:val="26"/>
        </w:rPr>
        <w:t xml:space="preserve">26.5 Application Security &amp; Penetration-Test Readiness</w:t>
      </w:r>
    </w:p>
    <w:p>
      <w:pPr>
        <w:pStyle w:val="ListParagraph"/>
        <w:numPr>
          <w:ilvl w:val="0"/>
          <w:numId w:val="2"/>
        </w:numPr>
        <w:spacing w:after="80"/>
      </w:pPr>
      <w:r>
        <w:rPr>
          <w:sz w:val="21"/>
          <w:szCs w:val="21"/>
        </w:rPr>
        <w:t xml:space="preserve">OWASP Application Security Verification Standard (ASVS) Level 2 as the build baseline, with Level 3 controls applied to authentication, session management, and the audit trail.</w:t>
      </w:r>
    </w:p>
    <w:p>
      <w:pPr>
        <w:pStyle w:val="ListParagraph"/>
        <w:numPr>
          <w:ilvl w:val="0"/>
          <w:numId w:val="2"/>
        </w:numPr>
        <w:spacing w:after="80"/>
      </w:pPr>
      <w:r>
        <w:rPr>
          <w:sz w:val="21"/>
          <w:szCs w:val="21"/>
        </w:rPr>
        <w:t xml:space="preserve">Every API input validated against the Field Registry’s type and rule metadata; parameterised queries only; output encoding against cross-site scripting; CSRF protection; strict security headers and a content security policy.</w:t>
      </w:r>
    </w:p>
    <w:p>
      <w:pPr>
        <w:pStyle w:val="ListParagraph"/>
        <w:numPr>
          <w:ilvl w:val="0"/>
          <w:numId w:val="2"/>
        </w:numPr>
        <w:spacing w:after="80"/>
      </w:pPr>
      <w:r>
        <w:rPr>
          <w:sz w:val="21"/>
          <w:szCs w:val="21"/>
        </w:rPr>
        <w:t xml:space="preserve">Rate limiting and account-lockout policy; error responses that never reveal stack traces or internal details.</w:t>
      </w:r>
    </w:p>
    <w:p>
      <w:pPr>
        <w:pStyle w:val="ListParagraph"/>
        <w:numPr>
          <w:ilvl w:val="0"/>
          <w:numId w:val="2"/>
        </w:numPr>
        <w:spacing w:after="80"/>
      </w:pPr>
      <w:r>
        <w:rPr>
          <w:sz w:val="21"/>
          <w:szCs w:val="21"/>
        </w:rPr>
        <w:t xml:space="preserve">File uploads restricted by type allow-list and size, and passed to a malware-scanning hook through the Document Management adapter.</w:t>
      </w:r>
    </w:p>
    <w:p>
      <w:pPr>
        <w:pStyle w:val="ListParagraph"/>
        <w:numPr>
          <w:ilvl w:val="0"/>
          <w:numId w:val="2"/>
        </w:numPr>
        <w:spacing w:after="80"/>
      </w:pPr>
      <w:r>
        <w:rPr>
          <w:sz w:val="21"/>
          <w:szCs w:val="21"/>
        </w:rPr>
        <w:t xml:space="preserve">System-to-system API access per Section 22.4, with scoped, rotatable credentials.</w:t>
      </w:r>
    </w:p>
    <w:p>
      <w:pPr>
        <w:pStyle w:val="Heading2"/>
        <w:keepNext/>
        <w:spacing w:after="140" w:before="320"/>
      </w:pPr>
      <w:r>
        <w:rPr>
          <w:b/>
          <w:bCs/>
          <w:color w:val="2E5496"/>
          <w:sz w:val="26"/>
          <w:szCs w:val="26"/>
        </w:rPr>
        <w:t xml:space="preserve">26.6 Secure Development Lifecycle &amp; Supply Chain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4300"/>
        <w:gridCol w:w="2400"/>
      </w:tblGrid>
      <w:tr>
        <w:trPr>
          <w:tblHeader/>
        </w:trPr>
        <w:tc>
          <w:tcPr>
            <w:tcW w:type="dxa" w:w="2600"/>
            <w:shd w:fill="1F3864" w:val="clear"/>
            <w:tcMar>
              <w:top w:type="dxa" w:w="60"/>
              <w:left w:type="dxa" w:w="80"/>
              <w:bottom w:type="dxa" w:w="60"/>
              <w:right w:type="dxa" w:w="80"/>
            </w:tcMar>
          </w:tcPr>
          <w:p>
            <w:r>
              <w:rPr>
                <w:b/>
                <w:bCs/>
                <w:color w:val="FFFFFF"/>
                <w:sz w:val="19"/>
                <w:szCs w:val="19"/>
              </w:rPr>
              <w:t xml:space="preserve">Control</w:t>
            </w:r>
          </w:p>
        </w:tc>
        <w:tc>
          <w:tcPr>
            <w:tcW w:type="dxa" w:w="4300"/>
            <w:shd w:fill="1F3864" w:val="clear"/>
            <w:tcMar>
              <w:top w:type="dxa" w:w="60"/>
              <w:left w:type="dxa" w:w="80"/>
              <w:bottom w:type="dxa" w:w="60"/>
              <w:right w:type="dxa" w:w="80"/>
            </w:tcMar>
          </w:tcPr>
          <w:p>
            <w:r>
              <w:rPr>
                <w:b/>
                <w:bCs/>
                <w:color w:val="FFFFFF"/>
                <w:sz w:val="19"/>
                <w:szCs w:val="19"/>
              </w:rPr>
              <w:t xml:space="preserve">Purpose</w:t>
            </w:r>
          </w:p>
        </w:tc>
        <w:tc>
          <w:tcPr>
            <w:tcW w:type="dxa" w:w="2400"/>
            <w:shd w:fill="1F3864" w:val="clear"/>
            <w:tcMar>
              <w:top w:type="dxa" w:w="60"/>
              <w:left w:type="dxa" w:w="80"/>
              <w:bottom w:type="dxa" w:w="60"/>
              <w:right w:type="dxa" w:w="80"/>
            </w:tcMar>
          </w:tcPr>
          <w:p>
            <w:r>
              <w:rPr>
                <w:b/>
                <w:bCs/>
                <w:color w:val="FFFFFF"/>
                <w:sz w:val="19"/>
                <w:szCs w:val="19"/>
              </w:rPr>
              <w:t xml:space="preserve">When</w:t>
            </w:r>
          </w:p>
        </w:tc>
      </w:tr>
      <w:tr>
        <w:tc>
          <w:tcPr>
            <w:tcW w:type="dxa" w:w="2600"/>
            <w:shd w:fill="FFFFFF" w:val="clear"/>
            <w:tcMar>
              <w:top w:type="dxa" w:w="60"/>
              <w:left w:type="dxa" w:w="80"/>
              <w:bottom w:type="dxa" w:w="60"/>
              <w:right w:type="dxa" w:w="80"/>
            </w:tcMar>
          </w:tcPr>
          <w:p>
            <w:r>
              <w:rPr>
                <w:sz w:val="19"/>
                <w:szCs w:val="19"/>
              </w:rPr>
              <w:t xml:space="preserve">Static code analysis (SAST)</w:t>
            </w:r>
          </w:p>
        </w:tc>
        <w:tc>
          <w:tcPr>
            <w:tcW w:type="dxa" w:w="4300"/>
            <w:shd w:fill="FFFFFF" w:val="clear"/>
            <w:tcMar>
              <w:top w:type="dxa" w:w="60"/>
              <w:left w:type="dxa" w:w="80"/>
              <w:bottom w:type="dxa" w:w="60"/>
              <w:right w:type="dxa" w:w="80"/>
            </w:tcMar>
          </w:tcPr>
          <w:p>
            <w:r>
              <w:rPr>
                <w:sz w:val="19"/>
                <w:szCs w:val="19"/>
              </w:rPr>
              <w:t xml:space="preserve">Finds insecure code patterns</w:t>
            </w:r>
          </w:p>
        </w:tc>
        <w:tc>
          <w:tcPr>
            <w:tcW w:type="dxa" w:w="2400"/>
            <w:shd w:fill="FFFFFF" w:val="clear"/>
            <w:tcMar>
              <w:top w:type="dxa" w:w="60"/>
              <w:left w:type="dxa" w:w="80"/>
              <w:bottom w:type="dxa" w:w="60"/>
              <w:right w:type="dxa" w:w="80"/>
            </w:tcMar>
          </w:tcPr>
          <w:p>
            <w:r>
              <w:rPr>
                <w:sz w:val="19"/>
                <w:szCs w:val="19"/>
              </w:rPr>
              <w:t xml:space="preserve">Every change</w:t>
            </w:r>
          </w:p>
        </w:tc>
      </w:tr>
      <w:tr>
        <w:tc>
          <w:tcPr>
            <w:tcW w:type="dxa" w:w="2600"/>
            <w:shd w:fill="DCE6F1" w:val="clear"/>
            <w:tcMar>
              <w:top w:type="dxa" w:w="60"/>
              <w:left w:type="dxa" w:w="80"/>
              <w:bottom w:type="dxa" w:w="60"/>
              <w:right w:type="dxa" w:w="80"/>
            </w:tcMar>
          </w:tcPr>
          <w:p>
            <w:r>
              <w:rPr>
                <w:sz w:val="19"/>
                <w:szCs w:val="19"/>
              </w:rPr>
              <w:t xml:space="preserve">Dependency analysis (SCA)</w:t>
            </w:r>
          </w:p>
        </w:tc>
        <w:tc>
          <w:tcPr>
            <w:tcW w:type="dxa" w:w="4300"/>
            <w:shd w:fill="DCE6F1" w:val="clear"/>
            <w:tcMar>
              <w:top w:type="dxa" w:w="60"/>
              <w:left w:type="dxa" w:w="80"/>
              <w:bottom w:type="dxa" w:w="60"/>
              <w:right w:type="dxa" w:w="80"/>
            </w:tcMar>
          </w:tcPr>
          <w:p>
            <w:r>
              <w:rPr>
                <w:sz w:val="19"/>
                <w:szCs w:val="19"/>
              </w:rPr>
              <w:t xml:space="preserve">Finds known-vulnerable third-party packages</w:t>
            </w:r>
          </w:p>
        </w:tc>
        <w:tc>
          <w:tcPr>
            <w:tcW w:type="dxa" w:w="2400"/>
            <w:shd w:fill="DCE6F1" w:val="clear"/>
            <w:tcMar>
              <w:top w:type="dxa" w:w="60"/>
              <w:left w:type="dxa" w:w="80"/>
              <w:bottom w:type="dxa" w:w="60"/>
              <w:right w:type="dxa" w:w="80"/>
            </w:tcMar>
          </w:tcPr>
          <w:p>
            <w:r>
              <w:rPr>
                <w:sz w:val="19"/>
                <w:szCs w:val="19"/>
              </w:rPr>
              <w:t xml:space="preserve">Every change, and daily</w:t>
            </w:r>
          </w:p>
        </w:tc>
      </w:tr>
      <w:tr>
        <w:tc>
          <w:tcPr>
            <w:tcW w:type="dxa" w:w="2600"/>
            <w:shd w:fill="FFFFFF" w:val="clear"/>
            <w:tcMar>
              <w:top w:type="dxa" w:w="60"/>
              <w:left w:type="dxa" w:w="80"/>
              <w:bottom w:type="dxa" w:w="60"/>
              <w:right w:type="dxa" w:w="80"/>
            </w:tcMar>
          </w:tcPr>
          <w:p>
            <w:r>
              <w:rPr>
                <w:sz w:val="19"/>
                <w:szCs w:val="19"/>
              </w:rPr>
              <w:t xml:space="preserve">Secret scanning</w:t>
            </w:r>
          </w:p>
        </w:tc>
        <w:tc>
          <w:tcPr>
            <w:tcW w:type="dxa" w:w="4300"/>
            <w:shd w:fill="FFFFFF" w:val="clear"/>
            <w:tcMar>
              <w:top w:type="dxa" w:w="60"/>
              <w:left w:type="dxa" w:w="80"/>
              <w:bottom w:type="dxa" w:w="60"/>
              <w:right w:type="dxa" w:w="80"/>
            </w:tcMar>
          </w:tcPr>
          <w:p>
            <w:r>
              <w:rPr>
                <w:sz w:val="19"/>
                <w:szCs w:val="19"/>
              </w:rPr>
              <w:t xml:space="preserve">Prevents credentials from entering the repository</w:t>
            </w:r>
          </w:p>
        </w:tc>
        <w:tc>
          <w:tcPr>
            <w:tcW w:type="dxa" w:w="2400"/>
            <w:shd w:fill="FFFFFF" w:val="clear"/>
            <w:tcMar>
              <w:top w:type="dxa" w:w="60"/>
              <w:left w:type="dxa" w:w="80"/>
              <w:bottom w:type="dxa" w:w="60"/>
              <w:right w:type="dxa" w:w="80"/>
            </w:tcMar>
          </w:tcPr>
          <w:p>
            <w:r>
              <w:rPr>
                <w:sz w:val="19"/>
                <w:szCs w:val="19"/>
              </w:rPr>
              <w:t xml:space="preserve">Every change</w:t>
            </w:r>
          </w:p>
        </w:tc>
      </w:tr>
      <w:tr>
        <w:tc>
          <w:tcPr>
            <w:tcW w:type="dxa" w:w="2600"/>
            <w:shd w:fill="DCE6F1" w:val="clear"/>
            <w:tcMar>
              <w:top w:type="dxa" w:w="60"/>
              <w:left w:type="dxa" w:w="80"/>
              <w:bottom w:type="dxa" w:w="60"/>
              <w:right w:type="dxa" w:w="80"/>
            </w:tcMar>
          </w:tcPr>
          <w:p>
            <w:r>
              <w:rPr>
                <w:sz w:val="19"/>
                <w:szCs w:val="19"/>
              </w:rPr>
              <w:t xml:space="preserve">Container image scanning</w:t>
            </w:r>
          </w:p>
        </w:tc>
        <w:tc>
          <w:tcPr>
            <w:tcW w:type="dxa" w:w="4300"/>
            <w:shd w:fill="DCE6F1" w:val="clear"/>
            <w:tcMar>
              <w:top w:type="dxa" w:w="60"/>
              <w:left w:type="dxa" w:w="80"/>
              <w:bottom w:type="dxa" w:w="60"/>
              <w:right w:type="dxa" w:w="80"/>
            </w:tcMar>
          </w:tcPr>
          <w:p>
            <w:r>
              <w:rPr>
                <w:sz w:val="19"/>
                <w:szCs w:val="19"/>
              </w:rPr>
              <w:t xml:space="preserve">Finds vulnerable operating-system packages in images</w:t>
            </w:r>
          </w:p>
        </w:tc>
        <w:tc>
          <w:tcPr>
            <w:tcW w:type="dxa" w:w="2400"/>
            <w:shd w:fill="DCE6F1" w:val="clear"/>
            <w:tcMar>
              <w:top w:type="dxa" w:w="60"/>
              <w:left w:type="dxa" w:w="80"/>
              <w:bottom w:type="dxa" w:w="60"/>
              <w:right w:type="dxa" w:w="80"/>
            </w:tcMar>
          </w:tcPr>
          <w:p>
            <w:r>
              <w:rPr>
                <w:sz w:val="19"/>
                <w:szCs w:val="19"/>
              </w:rPr>
              <w:t xml:space="preserve">Every build</w:t>
            </w:r>
          </w:p>
        </w:tc>
      </w:tr>
      <w:tr>
        <w:tc>
          <w:tcPr>
            <w:tcW w:type="dxa" w:w="2600"/>
            <w:shd w:fill="FFFFFF" w:val="clear"/>
            <w:tcMar>
              <w:top w:type="dxa" w:w="60"/>
              <w:left w:type="dxa" w:w="80"/>
              <w:bottom w:type="dxa" w:w="60"/>
              <w:right w:type="dxa" w:w="80"/>
            </w:tcMar>
          </w:tcPr>
          <w:p>
            <w:r>
              <w:rPr>
                <w:sz w:val="19"/>
                <w:szCs w:val="19"/>
              </w:rPr>
              <w:t xml:space="preserve">Software bill of materials (SBOM)</w:t>
            </w:r>
          </w:p>
        </w:tc>
        <w:tc>
          <w:tcPr>
            <w:tcW w:type="dxa" w:w="4300"/>
            <w:shd w:fill="FFFFFF" w:val="clear"/>
            <w:tcMar>
              <w:top w:type="dxa" w:w="60"/>
              <w:left w:type="dxa" w:w="80"/>
              <w:bottom w:type="dxa" w:w="60"/>
              <w:right w:type="dxa" w:w="80"/>
            </w:tcMar>
          </w:tcPr>
          <w:p>
            <w:r>
              <w:rPr>
                <w:sz w:val="19"/>
                <w:szCs w:val="19"/>
              </w:rPr>
              <w:t xml:space="preserve">Lists every component shipped, for the client’s risk review</w:t>
            </w:r>
          </w:p>
        </w:tc>
        <w:tc>
          <w:tcPr>
            <w:tcW w:type="dxa" w:w="2400"/>
            <w:shd w:fill="FFFFFF" w:val="clear"/>
            <w:tcMar>
              <w:top w:type="dxa" w:w="60"/>
              <w:left w:type="dxa" w:w="80"/>
              <w:bottom w:type="dxa" w:w="60"/>
              <w:right w:type="dxa" w:w="80"/>
            </w:tcMar>
          </w:tcPr>
          <w:p>
            <w:r>
              <w:rPr>
                <w:sz w:val="19"/>
                <w:szCs w:val="19"/>
              </w:rPr>
              <w:t xml:space="preserve">Every release</w:t>
            </w:r>
          </w:p>
        </w:tc>
      </w:tr>
      <w:tr>
        <w:tc>
          <w:tcPr>
            <w:tcW w:type="dxa" w:w="2600"/>
            <w:shd w:fill="DCE6F1" w:val="clear"/>
            <w:tcMar>
              <w:top w:type="dxa" w:w="60"/>
              <w:left w:type="dxa" w:w="80"/>
              <w:bottom w:type="dxa" w:w="60"/>
              <w:right w:type="dxa" w:w="80"/>
            </w:tcMar>
          </w:tcPr>
          <w:p>
            <w:r>
              <w:rPr>
                <w:sz w:val="19"/>
                <w:szCs w:val="19"/>
              </w:rPr>
              <w:t xml:space="preserve">Dynamic scanning (DAST)</w:t>
            </w:r>
          </w:p>
        </w:tc>
        <w:tc>
          <w:tcPr>
            <w:tcW w:type="dxa" w:w="4300"/>
            <w:shd w:fill="DCE6F1" w:val="clear"/>
            <w:tcMar>
              <w:top w:type="dxa" w:w="60"/>
              <w:left w:type="dxa" w:w="80"/>
              <w:bottom w:type="dxa" w:w="60"/>
              <w:right w:type="dxa" w:w="80"/>
            </w:tcMar>
          </w:tcPr>
          <w:p>
            <w:r>
              <w:rPr>
                <w:sz w:val="19"/>
                <w:szCs w:val="19"/>
              </w:rPr>
              <w:t xml:space="preserve">Tests the running application for exploitable weaknesses</w:t>
            </w:r>
          </w:p>
        </w:tc>
        <w:tc>
          <w:tcPr>
            <w:tcW w:type="dxa" w:w="2400"/>
            <w:shd w:fill="DCE6F1" w:val="clear"/>
            <w:tcMar>
              <w:top w:type="dxa" w:w="60"/>
              <w:left w:type="dxa" w:w="80"/>
              <w:bottom w:type="dxa" w:w="60"/>
              <w:right w:type="dxa" w:w="80"/>
            </w:tcMar>
          </w:tcPr>
          <w:p>
            <w:r>
              <w:rPr>
                <w:sz w:val="19"/>
                <w:szCs w:val="19"/>
              </w:rPr>
              <w:t xml:space="preserve">Every release candidate</w:t>
            </w:r>
          </w:p>
        </w:tc>
      </w:tr>
      <w:tr>
        <w:tc>
          <w:tcPr>
            <w:tcW w:type="dxa" w:w="2600"/>
            <w:shd w:fill="FFFFFF" w:val="clear"/>
            <w:tcMar>
              <w:top w:type="dxa" w:w="60"/>
              <w:left w:type="dxa" w:w="80"/>
              <w:bottom w:type="dxa" w:w="60"/>
              <w:right w:type="dxa" w:w="80"/>
            </w:tcMar>
          </w:tcPr>
          <w:p>
            <w:r>
              <w:rPr>
                <w:sz w:val="19"/>
                <w:szCs w:val="19"/>
              </w:rPr>
              <w:t xml:space="preserve">Pinned dependencies and private registry mirror</w:t>
            </w:r>
          </w:p>
        </w:tc>
        <w:tc>
          <w:tcPr>
            <w:tcW w:type="dxa" w:w="4300"/>
            <w:shd w:fill="FFFFFF" w:val="clear"/>
            <w:tcMar>
              <w:top w:type="dxa" w:w="60"/>
              <w:left w:type="dxa" w:w="80"/>
              <w:bottom w:type="dxa" w:w="60"/>
              <w:right w:type="dxa" w:w="80"/>
            </w:tcMar>
          </w:tcPr>
          <w:p>
            <w:r>
              <w:rPr>
                <w:sz w:val="19"/>
                <w:szCs w:val="19"/>
              </w:rPr>
              <w:t xml:space="preserve">Controls the npm supply chain; no unreviewed package versions</w:t>
            </w:r>
          </w:p>
        </w:tc>
        <w:tc>
          <w:tcPr>
            <w:tcW w:type="dxa" w:w="2400"/>
            <w:shd w:fill="FFFFFF" w:val="clear"/>
            <w:tcMar>
              <w:top w:type="dxa" w:w="60"/>
              <w:left w:type="dxa" w:w="80"/>
              <w:bottom w:type="dxa" w:w="60"/>
              <w:right w:type="dxa" w:w="80"/>
            </w:tcMar>
          </w:tcPr>
          <w:p>
            <w:r>
              <w:rPr>
                <w:sz w:val="19"/>
                <w:szCs w:val="19"/>
              </w:rPr>
              <w:t xml:space="preserve">Continuous</w:t>
            </w:r>
          </w:p>
        </w:tc>
      </w:tr>
      <w:tr>
        <w:tc>
          <w:tcPr>
            <w:tcW w:type="dxa" w:w="2600"/>
            <w:shd w:fill="DCE6F1" w:val="clear"/>
            <w:tcMar>
              <w:top w:type="dxa" w:w="60"/>
              <w:left w:type="dxa" w:w="80"/>
              <w:bottom w:type="dxa" w:w="60"/>
              <w:right w:type="dxa" w:w="80"/>
            </w:tcMar>
          </w:tcPr>
          <w:p>
            <w:r>
              <w:rPr>
                <w:sz w:val="19"/>
                <w:szCs w:val="19"/>
              </w:rPr>
              <w:t xml:space="preserve">Signed commits and mandatory peer review</w:t>
            </w:r>
          </w:p>
        </w:tc>
        <w:tc>
          <w:tcPr>
            <w:tcW w:type="dxa" w:w="4300"/>
            <w:shd w:fill="DCE6F1" w:val="clear"/>
            <w:tcMar>
              <w:top w:type="dxa" w:w="60"/>
              <w:left w:type="dxa" w:w="80"/>
              <w:bottom w:type="dxa" w:w="60"/>
              <w:right w:type="dxa" w:w="80"/>
            </w:tcMar>
          </w:tcPr>
          <w:p>
            <w:r>
              <w:rPr>
                <w:sz w:val="19"/>
                <w:szCs w:val="19"/>
              </w:rPr>
              <w:t xml:space="preserve">Provides an auditable change-control trail</w:t>
            </w:r>
          </w:p>
        </w:tc>
        <w:tc>
          <w:tcPr>
            <w:tcW w:type="dxa" w:w="2400"/>
            <w:shd w:fill="DCE6F1" w:val="clear"/>
            <w:tcMar>
              <w:top w:type="dxa" w:w="60"/>
              <w:left w:type="dxa" w:w="80"/>
              <w:bottom w:type="dxa" w:w="60"/>
              <w:right w:type="dxa" w:w="80"/>
            </w:tcMar>
          </w:tcPr>
          <w:p>
            <w:r>
              <w:rPr>
                <w:sz w:val="19"/>
                <w:szCs w:val="19"/>
              </w:rPr>
              <w:t xml:space="preserve">Every change</w:t>
            </w:r>
          </w:p>
        </w:tc>
      </w:tr>
      <w:tr>
        <w:tc>
          <w:tcPr>
            <w:tcW w:type="dxa" w:w="2600"/>
            <w:shd w:fill="FFFFFF" w:val="clear"/>
            <w:tcMar>
              <w:top w:type="dxa" w:w="60"/>
              <w:left w:type="dxa" w:w="80"/>
              <w:bottom w:type="dxa" w:w="60"/>
              <w:right w:type="dxa" w:w="80"/>
            </w:tcMar>
          </w:tcPr>
          <w:p>
            <w:r>
              <w:rPr>
                <w:sz w:val="19"/>
                <w:szCs w:val="19"/>
              </w:rPr>
              <w:t xml:space="preserve">Independent penetration test</w:t>
            </w:r>
          </w:p>
        </w:tc>
        <w:tc>
          <w:tcPr>
            <w:tcW w:type="dxa" w:w="4300"/>
            <w:shd w:fill="FFFFFF" w:val="clear"/>
            <w:tcMar>
              <w:top w:type="dxa" w:w="60"/>
              <w:left w:type="dxa" w:w="80"/>
              <w:bottom w:type="dxa" w:w="60"/>
              <w:right w:type="dxa" w:w="80"/>
            </w:tcMar>
          </w:tcPr>
          <w:p>
            <w:r>
              <w:rPr>
                <w:sz w:val="19"/>
                <w:szCs w:val="19"/>
              </w:rPr>
              <w:t xml:space="preserve">Formal assurance accepted by the client</w:t>
            </w:r>
          </w:p>
        </w:tc>
        <w:tc>
          <w:tcPr>
            <w:tcW w:type="dxa" w:w="2400"/>
            <w:shd w:fill="FFFFFF" w:val="clear"/>
            <w:tcMar>
              <w:top w:type="dxa" w:w="60"/>
              <w:left w:type="dxa" w:w="80"/>
              <w:bottom w:type="dxa" w:w="60"/>
              <w:right w:type="dxa" w:w="80"/>
            </w:tcMar>
          </w:tcPr>
          <w:p>
            <w:r>
              <w:rPr>
                <w:sz w:val="19"/>
                <w:szCs w:val="19"/>
              </w:rPr>
              <w:t xml:space="preserve">Before first production go-live, annually, and after major releases</w:t>
            </w:r>
          </w:p>
        </w:tc>
      </w:tr>
    </w:tbl>
    <w:p>
      <w:pPr>
        <w:spacing w:after="120"/>
      </w:pPr>
    </w:p>
    <w:p>
      <w:pPr>
        <w:pStyle w:val="Heading2"/>
        <w:keepNext/>
        <w:spacing w:after="140" w:before="320"/>
      </w:pPr>
      <w:r>
        <w:rPr>
          <w:b/>
          <w:bCs/>
          <w:color w:val="2E5496"/>
          <w:sz w:val="26"/>
          <w:szCs w:val="26"/>
        </w:rPr>
        <w:t xml:space="preserve">26.7 Compliance Mapping &amp; Shared Responsibility</w:t>
      </w:r>
    </w:p>
    <w:p>
      <w:pPr>
        <w:spacing w:after="160"/>
      </w:pPr>
      <w:r>
        <w:rPr>
          <w:sz w:val="21"/>
          <w:szCs w:val="21"/>
        </w:rPr>
        <w:t xml:space="preserve">The controls above are maintained as a control matrix that maps each control to the frameworks a client will be audited against — for example the Reserve Bank of India’s IT governance directions, the Central Bank of Kuwait’s cybersecurity framework, ISO/IEC 27001 Annex A controls, India’s Digital Personal Data Protection Act, and the data-protection law of the deployment jurisdiction. Which frameworks apply is set per tenant, consistent with the configuration-first principle.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400"/>
      </w:tblGrid>
      <w:tr>
        <w:trPr>
          <w:tblHeader/>
        </w:trPr>
        <w:tc>
          <w:tcPr>
            <w:tcW w:type="dxa" w:w="2400"/>
            <w:shd w:fill="1F3864" w:val="clear"/>
            <w:tcMar>
              <w:top w:type="dxa" w:w="60"/>
              <w:left w:type="dxa" w:w="80"/>
              <w:bottom w:type="dxa" w:w="60"/>
              <w:right w:type="dxa" w:w="80"/>
            </w:tcMar>
          </w:tcPr>
          <w:p>
            <w:r>
              <w:rPr>
                <w:b/>
                <w:bCs/>
                <w:color w:val="FFFFFF"/>
                <w:sz w:val="19"/>
                <w:szCs w:val="19"/>
              </w:rPr>
              <w:t xml:space="preserve">Area</w:t>
            </w:r>
          </w:p>
        </w:tc>
        <w:tc>
          <w:tcPr>
            <w:tcW w:type="dxa" w:w="3500"/>
            <w:shd w:fill="1F3864" w:val="clear"/>
            <w:tcMar>
              <w:top w:type="dxa" w:w="60"/>
              <w:left w:type="dxa" w:w="80"/>
              <w:bottom w:type="dxa" w:w="60"/>
              <w:right w:type="dxa" w:w="80"/>
            </w:tcMar>
          </w:tcPr>
          <w:p>
            <w:r>
              <w:rPr>
                <w:b/>
                <w:bCs/>
                <w:color w:val="FFFFFF"/>
                <w:sz w:val="19"/>
                <w:szCs w:val="19"/>
              </w:rPr>
              <w:t xml:space="preserve">Creditum (Product)</w:t>
            </w:r>
          </w:p>
        </w:tc>
        <w:tc>
          <w:tcPr>
            <w:tcW w:type="dxa" w:w="3400"/>
            <w:shd w:fill="1F3864" w:val="clear"/>
            <w:tcMar>
              <w:top w:type="dxa" w:w="60"/>
              <w:left w:type="dxa" w:w="80"/>
              <w:bottom w:type="dxa" w:w="60"/>
              <w:right w:type="dxa" w:w="80"/>
            </w:tcMar>
          </w:tcPr>
          <w:p>
            <w:r>
              <w:rPr>
                <w:b/>
                <w:bCs/>
                <w:color w:val="FFFFFF"/>
                <w:sz w:val="19"/>
                <w:szCs w:val="19"/>
              </w:rPr>
              <w:t xml:space="preserve">Client / Hosting Operator</w:t>
            </w:r>
          </w:p>
        </w:tc>
      </w:tr>
      <w:tr>
        <w:tc>
          <w:tcPr>
            <w:tcW w:type="dxa" w:w="2400"/>
            <w:shd w:fill="FFFFFF" w:val="clear"/>
            <w:tcMar>
              <w:top w:type="dxa" w:w="60"/>
              <w:left w:type="dxa" w:w="80"/>
              <w:bottom w:type="dxa" w:w="60"/>
              <w:right w:type="dxa" w:w="80"/>
            </w:tcMar>
          </w:tcPr>
          <w:p>
            <w:r>
              <w:rPr>
                <w:sz w:val="19"/>
                <w:szCs w:val="19"/>
              </w:rPr>
              <w:t xml:space="preserve">Application security controls</w:t>
            </w:r>
          </w:p>
        </w:tc>
        <w:tc>
          <w:tcPr>
            <w:tcW w:type="dxa" w:w="3500"/>
            <w:shd w:fill="FFFFFF" w:val="clear"/>
            <w:tcMar>
              <w:top w:type="dxa" w:w="60"/>
              <w:left w:type="dxa" w:w="80"/>
              <w:bottom w:type="dxa" w:w="60"/>
              <w:right w:type="dxa" w:w="80"/>
            </w:tcMar>
          </w:tcPr>
          <w:p>
            <w:r>
              <w:rPr>
                <w:sz w:val="19"/>
                <w:szCs w:val="19"/>
              </w:rPr>
              <w:t xml:space="preserve">Provides and maintains (Sections 26.1–26.5)</w:t>
            </w:r>
          </w:p>
        </w:tc>
        <w:tc>
          <w:tcPr>
            <w:tcW w:type="dxa" w:w="3400"/>
            <w:shd w:fill="FFFFFF" w:val="clear"/>
            <w:tcMar>
              <w:top w:type="dxa" w:w="60"/>
              <w:left w:type="dxa" w:w="80"/>
              <w:bottom w:type="dxa" w:w="60"/>
              <w:right w:type="dxa" w:w="80"/>
            </w:tcMar>
          </w:tcPr>
          <w:p>
            <w:r>
              <w:rPr>
                <w:sz w:val="19"/>
                <w:szCs w:val="19"/>
              </w:rPr>
              <w:t xml:space="preserve">Configures per policy (session timeout, retention, masking)</w:t>
            </w:r>
          </w:p>
        </w:tc>
      </w:tr>
      <w:tr>
        <w:tc>
          <w:tcPr>
            <w:tcW w:type="dxa" w:w="2400"/>
            <w:shd w:fill="DCE6F1" w:val="clear"/>
            <w:tcMar>
              <w:top w:type="dxa" w:w="60"/>
              <w:left w:type="dxa" w:w="80"/>
              <w:bottom w:type="dxa" w:w="60"/>
              <w:right w:type="dxa" w:w="80"/>
            </w:tcMar>
          </w:tcPr>
          <w:p>
            <w:r>
              <w:rPr>
                <w:sz w:val="19"/>
                <w:szCs w:val="19"/>
              </w:rPr>
              <w:t xml:space="preserve">Identity and MFA</w:t>
            </w:r>
          </w:p>
        </w:tc>
        <w:tc>
          <w:tcPr>
            <w:tcW w:type="dxa" w:w="3500"/>
            <w:shd w:fill="DCE6F1" w:val="clear"/>
            <w:tcMar>
              <w:top w:type="dxa" w:w="60"/>
              <w:left w:type="dxa" w:w="80"/>
              <w:bottom w:type="dxa" w:w="60"/>
              <w:right w:type="dxa" w:w="80"/>
            </w:tcMar>
          </w:tcPr>
          <w:p>
            <w:r>
              <w:rPr>
                <w:sz w:val="19"/>
                <w:szCs w:val="19"/>
              </w:rPr>
              <w:t xml:space="preserve">Integrates and enforces</w:t>
            </w:r>
          </w:p>
        </w:tc>
        <w:tc>
          <w:tcPr>
            <w:tcW w:type="dxa" w:w="3400"/>
            <w:shd w:fill="DCE6F1" w:val="clear"/>
            <w:tcMar>
              <w:top w:type="dxa" w:w="60"/>
              <w:left w:type="dxa" w:w="80"/>
              <w:bottom w:type="dxa" w:w="60"/>
              <w:right w:type="dxa" w:w="80"/>
            </w:tcMar>
          </w:tcPr>
          <w:p>
            <w:r>
              <w:rPr>
                <w:sz w:val="19"/>
                <w:szCs w:val="19"/>
              </w:rPr>
              <w:t xml:space="preserve">Operates the Identity Provider</w:t>
            </w:r>
          </w:p>
        </w:tc>
      </w:tr>
      <w:tr>
        <w:tc>
          <w:tcPr>
            <w:tcW w:type="dxa" w:w="2400"/>
            <w:shd w:fill="FFFFFF" w:val="clear"/>
            <w:tcMar>
              <w:top w:type="dxa" w:w="60"/>
              <w:left w:type="dxa" w:w="80"/>
              <w:bottom w:type="dxa" w:w="60"/>
              <w:right w:type="dxa" w:w="80"/>
            </w:tcMar>
          </w:tcPr>
          <w:p>
            <w:r>
              <w:rPr>
                <w:sz w:val="19"/>
                <w:szCs w:val="19"/>
              </w:rPr>
              <w:t xml:space="preserve">Encryption keys</w:t>
            </w:r>
          </w:p>
        </w:tc>
        <w:tc>
          <w:tcPr>
            <w:tcW w:type="dxa" w:w="3500"/>
            <w:shd w:fill="FFFFFF" w:val="clear"/>
            <w:tcMar>
              <w:top w:type="dxa" w:w="60"/>
              <w:left w:type="dxa" w:w="80"/>
              <w:bottom w:type="dxa" w:w="60"/>
              <w:right w:type="dxa" w:w="80"/>
            </w:tcMar>
          </w:tcPr>
          <w:p>
            <w:r>
              <w:rPr>
                <w:sz w:val="19"/>
                <w:szCs w:val="19"/>
              </w:rPr>
              <w:t xml:space="preserve">Uses keys through KMS/HSM interfaces</w:t>
            </w:r>
          </w:p>
        </w:tc>
        <w:tc>
          <w:tcPr>
            <w:tcW w:type="dxa" w:w="3400"/>
            <w:shd w:fill="FFFFFF" w:val="clear"/>
            <w:tcMar>
              <w:top w:type="dxa" w:w="60"/>
              <w:left w:type="dxa" w:w="80"/>
              <w:bottom w:type="dxa" w:w="60"/>
              <w:right w:type="dxa" w:w="80"/>
            </w:tcMar>
          </w:tcPr>
          <w:p>
            <w:r>
              <w:rPr>
                <w:sz w:val="19"/>
                <w:szCs w:val="19"/>
              </w:rPr>
              <w:t xml:space="preserve">Owns and custodies keys</w:t>
            </w:r>
          </w:p>
        </w:tc>
      </w:tr>
      <w:tr>
        <w:tc>
          <w:tcPr>
            <w:tcW w:type="dxa" w:w="2400"/>
            <w:shd w:fill="DCE6F1" w:val="clear"/>
            <w:tcMar>
              <w:top w:type="dxa" w:w="60"/>
              <w:left w:type="dxa" w:w="80"/>
              <w:bottom w:type="dxa" w:w="60"/>
              <w:right w:type="dxa" w:w="80"/>
            </w:tcMar>
          </w:tcPr>
          <w:p>
            <w:r>
              <w:rPr>
                <w:sz w:val="19"/>
                <w:szCs w:val="19"/>
              </w:rPr>
              <w:t xml:space="preserve">Infrastructure, network, and OS hardening</w:t>
            </w:r>
          </w:p>
        </w:tc>
        <w:tc>
          <w:tcPr>
            <w:tcW w:type="dxa" w:w="3500"/>
            <w:shd w:fill="DCE6F1" w:val="clear"/>
            <w:tcMar>
              <w:top w:type="dxa" w:w="60"/>
              <w:left w:type="dxa" w:w="80"/>
              <w:bottom w:type="dxa" w:w="60"/>
              <w:right w:type="dxa" w:w="80"/>
            </w:tcMar>
          </w:tcPr>
          <w:p>
            <w:r>
              <w:rPr>
                <w:sz w:val="19"/>
                <w:szCs w:val="19"/>
              </w:rPr>
              <w:t xml:space="preserve">Ships hardened container images</w:t>
            </w:r>
          </w:p>
        </w:tc>
        <w:tc>
          <w:tcPr>
            <w:tcW w:type="dxa" w:w="3400"/>
            <w:shd w:fill="DCE6F1" w:val="clear"/>
            <w:tcMar>
              <w:top w:type="dxa" w:w="60"/>
              <w:left w:type="dxa" w:w="80"/>
              <w:bottom w:type="dxa" w:w="60"/>
              <w:right w:type="dxa" w:w="80"/>
            </w:tcMar>
          </w:tcPr>
          <w:p>
            <w:r>
              <w:rPr>
                <w:sz w:val="19"/>
                <w:szCs w:val="19"/>
              </w:rPr>
              <w:t xml:space="preserve">Operates and hardens the hosting environment</w:t>
            </w:r>
          </w:p>
        </w:tc>
      </w:tr>
      <w:tr>
        <w:tc>
          <w:tcPr>
            <w:tcW w:type="dxa" w:w="2400"/>
            <w:shd w:fill="FFFFFF" w:val="clear"/>
            <w:tcMar>
              <w:top w:type="dxa" w:w="60"/>
              <w:left w:type="dxa" w:w="80"/>
              <w:bottom w:type="dxa" w:w="60"/>
              <w:right w:type="dxa" w:w="80"/>
            </w:tcMar>
          </w:tcPr>
          <w:p>
            <w:r>
              <w:rPr>
                <w:sz w:val="19"/>
                <w:szCs w:val="19"/>
              </w:rPr>
              <w:t xml:space="preserve">Monitoring and incident response</w:t>
            </w:r>
          </w:p>
        </w:tc>
        <w:tc>
          <w:tcPr>
            <w:tcW w:type="dxa" w:w="3500"/>
            <w:shd w:fill="FFFFFF" w:val="clear"/>
            <w:tcMar>
              <w:top w:type="dxa" w:w="60"/>
              <w:left w:type="dxa" w:w="80"/>
              <w:bottom w:type="dxa" w:w="60"/>
              <w:right w:type="dxa" w:w="80"/>
            </w:tcMar>
          </w:tcPr>
          <w:p>
            <w:r>
              <w:rPr>
                <w:sz w:val="19"/>
                <w:szCs w:val="19"/>
              </w:rPr>
              <w:t xml:space="preserve">Emits audit and security events</w:t>
            </w:r>
          </w:p>
        </w:tc>
        <w:tc>
          <w:tcPr>
            <w:tcW w:type="dxa" w:w="3400"/>
            <w:shd w:fill="FFFFFF" w:val="clear"/>
            <w:tcMar>
              <w:top w:type="dxa" w:w="60"/>
              <w:left w:type="dxa" w:w="80"/>
              <w:bottom w:type="dxa" w:w="60"/>
              <w:right w:type="dxa" w:w="80"/>
            </w:tcMar>
          </w:tcPr>
          <w:p>
            <w:r>
              <w:rPr>
                <w:sz w:val="19"/>
                <w:szCs w:val="19"/>
              </w:rPr>
              <w:t xml:space="preserve">Monitors in its SIEM and runs incident response</w:t>
            </w:r>
          </w:p>
        </w:tc>
      </w:tr>
      <w:tr>
        <w:tc>
          <w:tcPr>
            <w:tcW w:type="dxa" w:w="2400"/>
            <w:shd w:fill="DCE6F1" w:val="clear"/>
            <w:tcMar>
              <w:top w:type="dxa" w:w="60"/>
              <w:left w:type="dxa" w:w="80"/>
              <w:bottom w:type="dxa" w:w="60"/>
              <w:right w:type="dxa" w:w="80"/>
            </w:tcMar>
          </w:tcPr>
          <w:p>
            <w:r>
              <w:rPr>
                <w:sz w:val="19"/>
                <w:szCs w:val="19"/>
              </w:rPr>
              <w:t xml:space="preserve">Backup and disaster recovery</w:t>
            </w:r>
          </w:p>
        </w:tc>
        <w:tc>
          <w:tcPr>
            <w:tcW w:type="dxa" w:w="3500"/>
            <w:shd w:fill="DCE6F1" w:val="clear"/>
            <w:tcMar>
              <w:top w:type="dxa" w:w="60"/>
              <w:left w:type="dxa" w:w="80"/>
              <w:bottom w:type="dxa" w:w="60"/>
              <w:right w:type="dxa" w:w="80"/>
            </w:tcMar>
          </w:tcPr>
          <w:p>
            <w:r>
              <w:rPr>
                <w:sz w:val="19"/>
                <w:szCs w:val="19"/>
              </w:rPr>
              <w:t xml:space="preserve">Supports per Section 24.6</w:t>
            </w:r>
          </w:p>
        </w:tc>
        <w:tc>
          <w:tcPr>
            <w:tcW w:type="dxa" w:w="3400"/>
            <w:shd w:fill="DCE6F1" w:val="clear"/>
            <w:tcMar>
              <w:top w:type="dxa" w:w="60"/>
              <w:left w:type="dxa" w:w="80"/>
              <w:bottom w:type="dxa" w:w="60"/>
              <w:right w:type="dxa" w:w="80"/>
            </w:tcMar>
          </w:tcPr>
          <w:p>
            <w:r>
              <w:rPr>
                <w:sz w:val="19"/>
                <w:szCs w:val="19"/>
              </w:rPr>
              <w:t xml:space="preserve">Executes and tests backups and DR</w:t>
            </w:r>
          </w:p>
        </w:tc>
      </w:tr>
    </w:tbl>
    <w:p>
      <w:pPr>
        <w:spacing w:after="120"/>
      </w:pPr>
    </w:p>
    <w:p>
      <w:pPr>
        <w:pStyle w:val="Heading1"/>
        <w:pageBreakBefore/>
        <w:spacing w:after="200" w:before="400"/>
      </w:pPr>
      <w:r>
        <w:rPr>
          <w:b/>
          <w:bCs/>
          <w:color w:val="1F3864"/>
          <w:sz w:val="32"/>
          <w:szCs w:val="32"/>
        </w:rPr>
        <w:t xml:space="preserve">27. Build Strategy &amp; Phasing</w:t>
      </w:r>
    </w:p>
    <w:p>
      <w:pPr>
        <w:spacing w:after="160"/>
      </w:pPr>
      <w:r>
        <w:rPr>
          <w:sz w:val="21"/>
          <w:szCs w:val="21"/>
        </w:rPr>
        <w:t xml:space="preserve">Creditum is built as a product first, against the core library only, and then configured and tested for each institution. No phase builds anything specific to one client. Each phase ends with its capabilities tested under both reference tenant configurations (Section 19.5), on all supported database engines, with the Section 25.4 guardrails passing.</w:t>
      </w:r>
    </w:p>
    <w:p>
      <w:pPr>
        <w:pStyle w:val="Heading2"/>
        <w:keepNext/>
        <w:spacing w:after="140" w:before="320"/>
      </w:pPr>
      <w:r>
        <w:rPr>
          <w:b/>
          <w:bCs/>
          <w:color w:val="2E5496"/>
          <w:sz w:val="26"/>
          <w:szCs w:val="26"/>
        </w:rPr>
        <w:t xml:space="preserve">27.1 Phases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900"/>
        <w:gridCol w:w="4700"/>
        <w:gridCol w:w="2700"/>
      </w:tblGrid>
      <w:tr>
        <w:trPr>
          <w:tblHeader/>
        </w:trPr>
        <w:tc>
          <w:tcPr>
            <w:tcW w:type="dxa" w:w="1900"/>
            <w:shd w:fill="1F3864" w:val="clear"/>
            <w:tcMar>
              <w:top w:type="dxa" w:w="60"/>
              <w:left w:type="dxa" w:w="80"/>
              <w:bottom w:type="dxa" w:w="60"/>
              <w:right w:type="dxa" w:w="80"/>
            </w:tcMar>
          </w:tcPr>
          <w:p>
            <w:r>
              <w:rPr>
                <w:b/>
                <w:bCs/>
                <w:color w:val="FFFFFF"/>
                <w:sz w:val="19"/>
                <w:szCs w:val="19"/>
              </w:rPr>
              <w:t xml:space="preserve">Phase</w:t>
            </w:r>
          </w:p>
        </w:tc>
        <w:tc>
          <w:tcPr>
            <w:tcW w:type="dxa" w:w="4700"/>
            <w:shd w:fill="1F3864" w:val="clear"/>
            <w:tcMar>
              <w:top w:type="dxa" w:w="60"/>
              <w:left w:type="dxa" w:w="80"/>
              <w:bottom w:type="dxa" w:w="60"/>
              <w:right w:type="dxa" w:w="80"/>
            </w:tcMar>
          </w:tcPr>
          <w:p>
            <w:r>
              <w:rPr>
                <w:b/>
                <w:bCs/>
                <w:color w:val="FFFFFF"/>
                <w:sz w:val="19"/>
                <w:szCs w:val="19"/>
              </w:rPr>
              <w:t xml:space="preserve">Scope</w:t>
            </w:r>
          </w:p>
        </w:tc>
        <w:tc>
          <w:tcPr>
            <w:tcW w:type="dxa" w:w="2700"/>
            <w:shd w:fill="1F3864" w:val="clear"/>
            <w:tcMar>
              <w:top w:type="dxa" w:w="60"/>
              <w:left w:type="dxa" w:w="80"/>
              <w:bottom w:type="dxa" w:w="60"/>
              <w:right w:type="dxa" w:w="80"/>
            </w:tcMar>
          </w:tcPr>
          <w:p>
            <w:r>
              <w:rPr>
                <w:b/>
                <w:bCs/>
                <w:color w:val="FFFFFF"/>
                <w:sz w:val="19"/>
                <w:szCs w:val="19"/>
              </w:rPr>
              <w:t xml:space="preserve">Exit Criterion</w:t>
            </w:r>
          </w:p>
        </w:tc>
      </w:tr>
      <w:tr>
        <w:tc>
          <w:tcPr>
            <w:tcW w:type="dxa" w:w="1900"/>
            <w:shd w:fill="FFFFFF" w:val="clear"/>
            <w:tcMar>
              <w:top w:type="dxa" w:w="60"/>
              <w:left w:type="dxa" w:w="80"/>
              <w:bottom w:type="dxa" w:w="60"/>
              <w:right w:type="dxa" w:w="80"/>
            </w:tcMar>
          </w:tcPr>
          <w:p>
            <w:r>
              <w:rPr>
                <w:sz w:val="19"/>
                <w:szCs w:val="19"/>
              </w:rPr>
              <w:t xml:space="preserve">0. Foundations</w:t>
            </w:r>
          </w:p>
        </w:tc>
        <w:tc>
          <w:tcPr>
            <w:tcW w:type="dxa" w:w="4700"/>
            <w:shd w:fill="FFFFFF" w:val="clear"/>
            <w:tcMar>
              <w:top w:type="dxa" w:w="60"/>
              <w:left w:type="dxa" w:w="80"/>
              <w:bottom w:type="dxa" w:w="60"/>
              <w:right w:type="dxa" w:w="80"/>
            </w:tcMar>
          </w:tcPr>
          <w:p>
            <w:r>
              <w:rPr>
                <w:sz w:val="19"/>
                <w:szCs w:val="19"/>
              </w:rPr>
              <w:t xml:space="preserve">Field registry seeded from the Creditum Core Field Library; configuration tables for currency, thresholds, roles, and delegated authority; tenant model; identity integration; tamper-evident audit trail; rules and workflow engine core; build pipeline with guardrails and the cross-engine test matrix</w:t>
            </w:r>
          </w:p>
        </w:tc>
        <w:tc>
          <w:tcPr>
            <w:tcW w:type="dxa" w:w="2700"/>
            <w:shd w:fill="FFFFFF" w:val="clear"/>
            <w:tcMar>
              <w:top w:type="dxa" w:w="60"/>
              <w:left w:type="dxa" w:w="80"/>
              <w:bottom w:type="dxa" w:w="60"/>
              <w:right w:type="dxa" w:w="80"/>
            </w:tcMar>
          </w:tcPr>
          <w:p>
            <w:r>
              <w:rPr>
                <w:sz w:val="19"/>
                <w:szCs w:val="19"/>
              </w:rPr>
              <w:t xml:space="preserve">A field, a rule, and a workflow change made by configuration alone, with all guardrails and all three database engines passing</w:t>
            </w:r>
          </w:p>
        </w:tc>
      </w:tr>
      <w:tr>
        <w:tc>
          <w:tcPr>
            <w:tcW w:type="dxa" w:w="1900"/>
            <w:shd w:fill="DCE6F1" w:val="clear"/>
            <w:tcMar>
              <w:top w:type="dxa" w:w="60"/>
              <w:left w:type="dxa" w:w="80"/>
              <w:bottom w:type="dxa" w:w="60"/>
              <w:right w:type="dxa" w:w="80"/>
            </w:tcMar>
          </w:tcPr>
          <w:p>
            <w:r>
              <w:rPr>
                <w:sz w:val="19"/>
                <w:szCs w:val="19"/>
              </w:rPr>
              <w:t xml:space="preserve">1. AI Financial Spreading</w:t>
            </w:r>
          </w:p>
        </w:tc>
        <w:tc>
          <w:tcPr>
            <w:tcW w:type="dxa" w:w="4700"/>
            <w:shd w:fill="DCE6F1" w:val="clear"/>
            <w:tcMar>
              <w:top w:type="dxa" w:w="60"/>
              <w:left w:type="dxa" w:w="80"/>
              <w:bottom w:type="dxa" w:w="60"/>
              <w:right w:type="dxa" w:w="80"/>
            </w:tcMar>
          </w:tcPr>
          <w:p>
            <w:r>
              <w:rPr>
                <w:sz w:val="19"/>
                <w:szCs w:val="19"/>
              </w:rPr>
              <w:t xml:space="preserve">Financial Analysis module: statement upload, AI-assisted extraction, spreading, ratios, and a draft credit memo; minimal Borrower Profile</w:t>
            </w:r>
          </w:p>
        </w:tc>
        <w:tc>
          <w:tcPr>
            <w:tcW w:type="dxa" w:w="2700"/>
            <w:shd w:fill="DCE6F1" w:val="clear"/>
            <w:tcMar>
              <w:top w:type="dxa" w:w="60"/>
              <w:left w:type="dxa" w:w="80"/>
              <w:bottom w:type="dxa" w:w="60"/>
              <w:right w:type="dxa" w:w="80"/>
            </w:tcMar>
          </w:tcPr>
          <w:p>
            <w:r>
              <w:rPr>
                <w:sz w:val="19"/>
                <w:szCs w:val="19"/>
              </w:rPr>
              <w:t xml:space="preserve">Spreading works for both reference tenants, with their own currencies and ratio thresholds</w:t>
            </w:r>
          </w:p>
        </w:tc>
      </w:tr>
      <w:tr>
        <w:tc>
          <w:tcPr>
            <w:tcW w:type="dxa" w:w="1900"/>
            <w:shd w:fill="FFFFFF" w:val="clear"/>
            <w:tcMar>
              <w:top w:type="dxa" w:w="60"/>
              <w:left w:type="dxa" w:w="80"/>
              <w:bottom w:type="dxa" w:w="60"/>
              <w:right w:type="dxa" w:w="80"/>
            </w:tcMar>
          </w:tcPr>
          <w:p>
            <w:r>
              <w:rPr>
                <w:sz w:val="19"/>
                <w:szCs w:val="19"/>
              </w:rPr>
              <w:t xml:space="preserve">2. Core Origination</w:t>
            </w:r>
          </w:p>
        </w:tc>
        <w:tc>
          <w:tcPr>
            <w:tcW w:type="dxa" w:w="4700"/>
            <w:shd w:fill="FFFFFF" w:val="clear"/>
            <w:tcMar>
              <w:top w:type="dxa" w:w="60"/>
              <w:left w:type="dxa" w:w="80"/>
              <w:bottom w:type="dxa" w:w="60"/>
              <w:right w:type="dxa" w:w="80"/>
            </w:tcMar>
          </w:tcPr>
          <w:p>
            <w:r>
              <w:rPr>
                <w:sz w:val="19"/>
                <w:szCs w:val="19"/>
              </w:rPr>
              <w:t xml:space="preserve">Credit Request lifecycle from Initiation through Credit Review to Committee Decision; Borrower Profile, Facility &amp; Collateral, Exposure &amp; Relationship modules; delegated authority matrix; first role dashboards; identity and document adapters; core banking adapter against a stub</w:t>
            </w:r>
          </w:p>
        </w:tc>
        <w:tc>
          <w:tcPr>
            <w:tcW w:type="dxa" w:w="2700"/>
            <w:shd w:fill="FFFFFF" w:val="clear"/>
            <w:tcMar>
              <w:top w:type="dxa" w:w="60"/>
              <w:left w:type="dxa" w:w="80"/>
              <w:bottom w:type="dxa" w:w="60"/>
              <w:right w:type="dxa" w:w="80"/>
            </w:tcMar>
          </w:tcPr>
          <w:p>
            <w:r>
              <w:rPr>
                <w:sz w:val="19"/>
                <w:szCs w:val="19"/>
              </w:rPr>
              <w:t xml:space="preserve">An end-to-end Credit Request through committee for both reference tenants</w:t>
            </w:r>
          </w:p>
        </w:tc>
      </w:tr>
      <w:tr>
        <w:tc>
          <w:tcPr>
            <w:tcW w:type="dxa" w:w="1900"/>
            <w:shd w:fill="DCE6F1" w:val="clear"/>
            <w:tcMar>
              <w:top w:type="dxa" w:w="60"/>
              <w:left w:type="dxa" w:w="80"/>
              <w:bottom w:type="dxa" w:w="60"/>
              <w:right w:type="dxa" w:w="80"/>
            </w:tcMar>
          </w:tcPr>
          <w:p>
            <w:r>
              <w:rPr>
                <w:sz w:val="19"/>
                <w:szCs w:val="19"/>
              </w:rPr>
              <w:t xml:space="preserve">3. Depth</w:t>
            </w:r>
          </w:p>
        </w:tc>
        <w:tc>
          <w:tcPr>
            <w:tcW w:type="dxa" w:w="4700"/>
            <w:shd w:fill="DCE6F1" w:val="clear"/>
            <w:tcMar>
              <w:top w:type="dxa" w:w="60"/>
              <w:left w:type="dxa" w:w="80"/>
              <w:bottom w:type="dxa" w:w="60"/>
              <w:right w:type="dxa" w:w="80"/>
            </w:tcMar>
          </w:tcPr>
          <w:p>
            <w:r>
              <w:rPr>
                <w:sz w:val="19"/>
                <w:szCs w:val="19"/>
              </w:rPr>
              <w:t xml:space="preserve">Pricing and ROC/RAROC, relationship-based pricing, repayment schedule builder, record versioning, covenant monitoring, credit bureau adapters, ESG module, Credit Administration</w:t>
            </w:r>
          </w:p>
        </w:tc>
        <w:tc>
          <w:tcPr>
            <w:tcW w:type="dxa" w:w="2700"/>
            <w:shd w:fill="DCE6F1" w:val="clear"/>
            <w:tcMar>
              <w:top w:type="dxa" w:w="60"/>
              <w:left w:type="dxa" w:w="80"/>
              <w:bottom w:type="dxa" w:w="60"/>
              <w:right w:type="dxa" w:w="80"/>
            </w:tcMar>
          </w:tcPr>
          <w:p>
            <w:r>
              <w:rPr>
                <w:sz w:val="19"/>
                <w:szCs w:val="19"/>
              </w:rPr>
              <w:t xml:space="preserve">Each capability passes the Two-Tenant Test</w:t>
            </w:r>
          </w:p>
        </w:tc>
      </w:tr>
      <w:tr>
        <w:tc>
          <w:tcPr>
            <w:tcW w:type="dxa" w:w="1900"/>
            <w:shd w:fill="FFFFFF" w:val="clear"/>
            <w:tcMar>
              <w:top w:type="dxa" w:w="60"/>
              <w:left w:type="dxa" w:w="80"/>
              <w:bottom w:type="dxa" w:w="60"/>
              <w:right w:type="dxa" w:w="80"/>
            </w:tcMar>
          </w:tcPr>
          <w:p>
            <w:r>
              <w:rPr>
                <w:sz w:val="19"/>
                <w:szCs w:val="19"/>
              </w:rPr>
              <w:t xml:space="preserve">4. Productisation</w:t>
            </w:r>
          </w:p>
        </w:tc>
        <w:tc>
          <w:tcPr>
            <w:tcW w:type="dxa" w:w="4700"/>
            <w:shd w:fill="FFFFFF" w:val="clear"/>
            <w:tcMar>
              <w:top w:type="dxa" w:w="60"/>
              <w:left w:type="dxa" w:w="80"/>
              <w:bottom w:type="dxa" w:w="60"/>
              <w:right w:type="dxa" w:w="80"/>
            </w:tcMar>
          </w:tcPr>
          <w:p>
            <w:r>
              <w:rPr>
                <w:sz w:val="19"/>
                <w:szCs w:val="19"/>
              </w:rPr>
              <w:t xml:space="preserve">Visual builders (Section 20), sandbox-to-production configuration promotion, AI advisory chat (Section 21), deployment packaging (Section 24), independent penetration test</w:t>
            </w:r>
          </w:p>
        </w:tc>
        <w:tc>
          <w:tcPr>
            <w:tcW w:type="dxa" w:w="2700"/>
            <w:shd w:fill="FFFFFF" w:val="clear"/>
            <w:tcMar>
              <w:top w:type="dxa" w:w="60"/>
              <w:left w:type="dxa" w:w="80"/>
              <w:bottom w:type="dxa" w:w="60"/>
              <w:right w:type="dxa" w:w="80"/>
            </w:tcMar>
          </w:tcPr>
          <w:p>
            <w:r>
              <w:rPr>
                <w:sz w:val="19"/>
                <w:szCs w:val="19"/>
              </w:rPr>
              <w:t xml:space="preserve">A client administrator completes routine configuration without a developer; penetration test findings closed</w:t>
            </w:r>
          </w:p>
        </w:tc>
      </w:tr>
    </w:tbl>
    <w:p>
      <w:pPr>
        <w:spacing w:after="120"/>
      </w:pPr>
    </w:p>
    <w:p>
      <w:pPr>
        <w:pStyle w:val="Heading2"/>
        <w:keepNext/>
        <w:spacing w:after="140" w:before="320"/>
      </w:pPr>
      <w:r>
        <w:rPr>
          <w:b/>
          <w:bCs/>
          <w:color w:val="2E5496"/>
          <w:sz w:val="26"/>
          <w:szCs w:val="26"/>
        </w:rPr>
        <w:t xml:space="preserve">27.2 Configure &amp; Test</w:t>
      </w:r>
    </w:p>
    <w:p>
      <w:pPr>
        <w:spacing w:after="160"/>
      </w:pPr>
      <w:r>
        <w:rPr>
          <w:sz w:val="21"/>
          <w:szCs w:val="21"/>
        </w:rPr>
        <w:t xml:space="preserve">After the product build, the full XYZ Bank configuration is completed from the Section 18 register and tested end to end, followed by ABC Finance. The test layers are: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4300"/>
        <w:gridCol w:w="2400"/>
      </w:tblGrid>
      <w:tr>
        <w:trPr>
          <w:tblHeader/>
        </w:trPr>
        <w:tc>
          <w:tcPr>
            <w:tcW w:type="dxa" w:w="2600"/>
            <w:shd w:fill="1F3864" w:val="clear"/>
            <w:tcMar>
              <w:top w:type="dxa" w:w="60"/>
              <w:left w:type="dxa" w:w="80"/>
              <w:bottom w:type="dxa" w:w="60"/>
              <w:right w:type="dxa" w:w="80"/>
            </w:tcMar>
          </w:tcPr>
          <w:p>
            <w:r>
              <w:rPr>
                <w:b/>
                <w:bCs/>
                <w:color w:val="FFFFFF"/>
                <w:sz w:val="19"/>
                <w:szCs w:val="19"/>
              </w:rPr>
              <w:t xml:space="preserve">Test Layer</w:t>
            </w:r>
          </w:p>
        </w:tc>
        <w:tc>
          <w:tcPr>
            <w:tcW w:type="dxa" w:w="4300"/>
            <w:shd w:fill="1F3864" w:val="clear"/>
            <w:tcMar>
              <w:top w:type="dxa" w:w="60"/>
              <w:left w:type="dxa" w:w="80"/>
              <w:bottom w:type="dxa" w:w="60"/>
              <w:right w:type="dxa" w:w="80"/>
            </w:tcMar>
          </w:tcPr>
          <w:p>
            <w:r>
              <w:rPr>
                <w:b/>
                <w:bCs/>
                <w:color w:val="FFFFFF"/>
                <w:sz w:val="19"/>
                <w:szCs w:val="19"/>
              </w:rPr>
              <w:t xml:space="preserve">What It Proves</w:t>
            </w:r>
          </w:p>
        </w:tc>
        <w:tc>
          <w:tcPr>
            <w:tcW w:type="dxa" w:w="2400"/>
            <w:shd w:fill="1F3864" w:val="clear"/>
            <w:tcMar>
              <w:top w:type="dxa" w:w="60"/>
              <w:left w:type="dxa" w:w="80"/>
              <w:bottom w:type="dxa" w:w="60"/>
              <w:right w:type="dxa" w:w="80"/>
            </w:tcMar>
          </w:tcPr>
          <w:p>
            <w:r>
              <w:rPr>
                <w:b/>
                <w:bCs/>
                <w:color w:val="FFFFFF"/>
                <w:sz w:val="19"/>
                <w:szCs w:val="19"/>
              </w:rPr>
              <w:t xml:space="preserve">When</w:t>
            </w:r>
          </w:p>
        </w:tc>
      </w:tr>
      <w:tr>
        <w:tc>
          <w:tcPr>
            <w:tcW w:type="dxa" w:w="2600"/>
            <w:shd w:fill="FFFFFF" w:val="clear"/>
            <w:tcMar>
              <w:top w:type="dxa" w:w="60"/>
              <w:left w:type="dxa" w:w="80"/>
              <w:bottom w:type="dxa" w:w="60"/>
              <w:right w:type="dxa" w:w="80"/>
            </w:tcMar>
          </w:tcPr>
          <w:p>
            <w:r>
              <w:rPr>
                <w:sz w:val="19"/>
                <w:szCs w:val="19"/>
              </w:rPr>
              <w:t xml:space="preserve">Unit and calculation tests</w:t>
            </w:r>
          </w:p>
        </w:tc>
        <w:tc>
          <w:tcPr>
            <w:tcW w:type="dxa" w:w="4300"/>
            <w:shd w:fill="FFFFFF" w:val="clear"/>
            <w:tcMar>
              <w:top w:type="dxa" w:w="60"/>
              <w:left w:type="dxa" w:w="80"/>
              <w:bottom w:type="dxa" w:w="60"/>
              <w:right w:type="dxa" w:w="80"/>
            </w:tcMar>
          </w:tcPr>
          <w:p>
            <w:r>
              <w:rPr>
                <w:sz w:val="19"/>
                <w:szCs w:val="19"/>
              </w:rPr>
              <w:t xml:space="preserve">Every formula produces documented expected values with exact decimal results</w:t>
            </w:r>
          </w:p>
        </w:tc>
        <w:tc>
          <w:tcPr>
            <w:tcW w:type="dxa" w:w="2400"/>
            <w:shd w:fill="FFFFFF" w:val="clear"/>
            <w:tcMar>
              <w:top w:type="dxa" w:w="60"/>
              <w:left w:type="dxa" w:w="80"/>
              <w:bottom w:type="dxa" w:w="60"/>
              <w:right w:type="dxa" w:w="80"/>
            </w:tcMar>
          </w:tcPr>
          <w:p>
            <w:r>
              <w:rPr>
                <w:sz w:val="19"/>
                <w:szCs w:val="19"/>
              </w:rPr>
              <w:t xml:space="preserve">Every change</w:t>
            </w:r>
          </w:p>
        </w:tc>
      </w:tr>
      <w:tr>
        <w:tc>
          <w:tcPr>
            <w:tcW w:type="dxa" w:w="2600"/>
            <w:shd w:fill="DCE6F1" w:val="clear"/>
            <w:tcMar>
              <w:top w:type="dxa" w:w="60"/>
              <w:left w:type="dxa" w:w="80"/>
              <w:bottom w:type="dxa" w:w="60"/>
              <w:right w:type="dxa" w:w="80"/>
            </w:tcMar>
          </w:tcPr>
          <w:p>
            <w:r>
              <w:rPr>
                <w:sz w:val="19"/>
                <w:szCs w:val="19"/>
              </w:rPr>
              <w:t xml:space="preserve">Configuration tests</w:t>
            </w:r>
          </w:p>
        </w:tc>
        <w:tc>
          <w:tcPr>
            <w:tcW w:type="dxa" w:w="4300"/>
            <w:shd w:fill="DCE6F1" w:val="clear"/>
            <w:tcMar>
              <w:top w:type="dxa" w:w="60"/>
              <w:left w:type="dxa" w:w="80"/>
              <w:bottom w:type="dxa" w:w="60"/>
              <w:right w:type="dxa" w:w="80"/>
            </w:tcMar>
          </w:tcPr>
          <w:p>
            <w:r>
              <w:rPr>
                <w:sz w:val="19"/>
                <w:szCs w:val="19"/>
              </w:rPr>
              <w:t xml:space="preserve">Each rule and workflow behaves correctly under each reference tenant’s configuration</w:t>
            </w:r>
          </w:p>
        </w:tc>
        <w:tc>
          <w:tcPr>
            <w:tcW w:type="dxa" w:w="2400"/>
            <w:shd w:fill="DCE6F1" w:val="clear"/>
            <w:tcMar>
              <w:top w:type="dxa" w:w="60"/>
              <w:left w:type="dxa" w:w="80"/>
              <w:bottom w:type="dxa" w:w="60"/>
              <w:right w:type="dxa" w:w="80"/>
            </w:tcMar>
          </w:tcPr>
          <w:p>
            <w:r>
              <w:rPr>
                <w:sz w:val="19"/>
                <w:szCs w:val="19"/>
              </w:rPr>
              <w:t xml:space="preserve">Every change</w:t>
            </w:r>
          </w:p>
        </w:tc>
      </w:tr>
      <w:tr>
        <w:tc>
          <w:tcPr>
            <w:tcW w:type="dxa" w:w="2600"/>
            <w:shd w:fill="FFFFFF" w:val="clear"/>
            <w:tcMar>
              <w:top w:type="dxa" w:w="60"/>
              <w:left w:type="dxa" w:w="80"/>
              <w:bottom w:type="dxa" w:w="60"/>
              <w:right w:type="dxa" w:w="80"/>
            </w:tcMar>
          </w:tcPr>
          <w:p>
            <w:r>
              <w:rPr>
                <w:sz w:val="19"/>
                <w:szCs w:val="19"/>
              </w:rPr>
              <w:t xml:space="preserve">Cross-engine integration tests</w:t>
            </w:r>
          </w:p>
        </w:tc>
        <w:tc>
          <w:tcPr>
            <w:tcW w:type="dxa" w:w="4300"/>
            <w:shd w:fill="FFFFFF" w:val="clear"/>
            <w:tcMar>
              <w:top w:type="dxa" w:w="60"/>
              <w:left w:type="dxa" w:w="80"/>
              <w:bottom w:type="dxa" w:w="60"/>
              <w:right w:type="dxa" w:w="80"/>
            </w:tcMar>
          </w:tcPr>
          <w:p>
            <w:r>
              <w:rPr>
                <w:sz w:val="19"/>
                <w:szCs w:val="19"/>
              </w:rPr>
              <w:t xml:space="preserve">Identical behaviour on PostgreSQL, SQL Server, and Oracle</w:t>
            </w:r>
          </w:p>
        </w:tc>
        <w:tc>
          <w:tcPr>
            <w:tcW w:type="dxa" w:w="2400"/>
            <w:shd w:fill="FFFFFF" w:val="clear"/>
            <w:tcMar>
              <w:top w:type="dxa" w:w="60"/>
              <w:left w:type="dxa" w:w="80"/>
              <w:bottom w:type="dxa" w:w="60"/>
              <w:right w:type="dxa" w:w="80"/>
            </w:tcMar>
          </w:tcPr>
          <w:p>
            <w:r>
              <w:rPr>
                <w:sz w:val="19"/>
                <w:szCs w:val="19"/>
              </w:rPr>
              <w:t xml:space="preserve">Every build</w:t>
            </w:r>
          </w:p>
        </w:tc>
      </w:tr>
      <w:tr>
        <w:tc>
          <w:tcPr>
            <w:tcW w:type="dxa" w:w="2600"/>
            <w:shd w:fill="DCE6F1" w:val="clear"/>
            <w:tcMar>
              <w:top w:type="dxa" w:w="60"/>
              <w:left w:type="dxa" w:w="80"/>
              <w:bottom w:type="dxa" w:w="60"/>
              <w:right w:type="dxa" w:w="80"/>
            </w:tcMar>
          </w:tcPr>
          <w:p>
            <w:r>
              <w:rPr>
                <w:sz w:val="19"/>
                <w:szCs w:val="19"/>
              </w:rPr>
              <w:t xml:space="preserve">Security tests</w:t>
            </w:r>
          </w:p>
        </w:tc>
        <w:tc>
          <w:tcPr>
            <w:tcW w:type="dxa" w:w="4300"/>
            <w:shd w:fill="DCE6F1" w:val="clear"/>
            <w:tcMar>
              <w:top w:type="dxa" w:w="60"/>
              <w:left w:type="dxa" w:w="80"/>
              <w:bottom w:type="dxa" w:w="60"/>
              <w:right w:type="dxa" w:w="80"/>
            </w:tcMar>
          </w:tcPr>
          <w:p>
            <w:r>
              <w:rPr>
                <w:sz w:val="19"/>
                <w:szCs w:val="19"/>
              </w:rPr>
              <w:t xml:space="preserve">SAST, SCA, DAST, and tenant-isolation tests pass</w:t>
            </w:r>
          </w:p>
        </w:tc>
        <w:tc>
          <w:tcPr>
            <w:tcW w:type="dxa" w:w="2400"/>
            <w:shd w:fill="DCE6F1" w:val="clear"/>
            <w:tcMar>
              <w:top w:type="dxa" w:w="60"/>
              <w:left w:type="dxa" w:w="80"/>
              <w:bottom w:type="dxa" w:w="60"/>
              <w:right w:type="dxa" w:w="80"/>
            </w:tcMar>
          </w:tcPr>
          <w:p>
            <w:r>
              <w:rPr>
                <w:sz w:val="19"/>
                <w:szCs w:val="19"/>
              </w:rPr>
              <w:t xml:space="preserve">Per Section 26.6</w:t>
            </w:r>
          </w:p>
        </w:tc>
      </w:tr>
      <w:tr>
        <w:tc>
          <w:tcPr>
            <w:tcW w:type="dxa" w:w="2600"/>
            <w:shd w:fill="FFFFFF" w:val="clear"/>
            <w:tcMar>
              <w:top w:type="dxa" w:w="60"/>
              <w:left w:type="dxa" w:w="80"/>
              <w:bottom w:type="dxa" w:w="60"/>
              <w:right w:type="dxa" w:w="80"/>
            </w:tcMar>
          </w:tcPr>
          <w:p>
            <w:r>
              <w:rPr>
                <w:sz w:val="19"/>
                <w:szCs w:val="19"/>
              </w:rPr>
              <w:t xml:space="preserve">Audit-chain verification</w:t>
            </w:r>
          </w:p>
        </w:tc>
        <w:tc>
          <w:tcPr>
            <w:tcW w:type="dxa" w:w="4300"/>
            <w:shd w:fill="FFFFFF" w:val="clear"/>
            <w:tcMar>
              <w:top w:type="dxa" w:w="60"/>
              <w:left w:type="dxa" w:w="80"/>
              <w:bottom w:type="dxa" w:w="60"/>
              <w:right w:type="dxa" w:w="80"/>
            </w:tcMar>
          </w:tcPr>
          <w:p>
            <w:r>
              <w:rPr>
                <w:sz w:val="19"/>
                <w:szCs w:val="19"/>
              </w:rPr>
              <w:t xml:space="preserve">The audit trail is complete and unbroken after full test runs</w:t>
            </w:r>
          </w:p>
        </w:tc>
        <w:tc>
          <w:tcPr>
            <w:tcW w:type="dxa" w:w="2400"/>
            <w:shd w:fill="FFFFFF" w:val="clear"/>
            <w:tcMar>
              <w:top w:type="dxa" w:w="60"/>
              <w:left w:type="dxa" w:w="80"/>
              <w:bottom w:type="dxa" w:w="60"/>
              <w:right w:type="dxa" w:w="80"/>
            </w:tcMar>
          </w:tcPr>
          <w:p>
            <w:r>
              <w:rPr>
                <w:sz w:val="19"/>
                <w:szCs w:val="19"/>
              </w:rPr>
              <w:t xml:space="preserve">Every release</w:t>
            </w:r>
          </w:p>
        </w:tc>
      </w:tr>
      <w:tr>
        <w:tc>
          <w:tcPr>
            <w:tcW w:type="dxa" w:w="2600"/>
            <w:shd w:fill="DCE6F1" w:val="clear"/>
            <w:tcMar>
              <w:top w:type="dxa" w:w="60"/>
              <w:left w:type="dxa" w:w="80"/>
              <w:bottom w:type="dxa" w:w="60"/>
              <w:right w:type="dxa" w:w="80"/>
            </w:tcMar>
          </w:tcPr>
          <w:p>
            <w:r>
              <w:rPr>
                <w:sz w:val="19"/>
                <w:szCs w:val="19"/>
              </w:rPr>
              <w:t xml:space="preserve">Performance and load tests</w:t>
            </w:r>
          </w:p>
        </w:tc>
        <w:tc>
          <w:tcPr>
            <w:tcW w:type="dxa" w:w="4300"/>
            <w:shd w:fill="DCE6F1" w:val="clear"/>
            <w:tcMar>
              <w:top w:type="dxa" w:w="60"/>
              <w:left w:type="dxa" w:w="80"/>
              <w:bottom w:type="dxa" w:w="60"/>
              <w:right w:type="dxa" w:w="80"/>
            </w:tcMar>
          </w:tcPr>
          <w:p>
            <w:r>
              <w:rPr>
                <w:sz w:val="19"/>
                <w:szCs w:val="19"/>
              </w:rPr>
              <w:t xml:space="preserve">Response times and throughput at target volumes</w:t>
            </w:r>
          </w:p>
        </w:tc>
        <w:tc>
          <w:tcPr>
            <w:tcW w:type="dxa" w:w="2400"/>
            <w:shd w:fill="DCE6F1" w:val="clear"/>
            <w:tcMar>
              <w:top w:type="dxa" w:w="60"/>
              <w:left w:type="dxa" w:w="80"/>
              <w:bottom w:type="dxa" w:w="60"/>
              <w:right w:type="dxa" w:w="80"/>
            </w:tcMar>
          </w:tcPr>
          <w:p>
            <w:r>
              <w:rPr>
                <w:sz w:val="19"/>
                <w:szCs w:val="19"/>
              </w:rPr>
              <w:t xml:space="preserve">Every release candidate</w:t>
            </w:r>
          </w:p>
        </w:tc>
      </w:tr>
      <w:tr>
        <w:tc>
          <w:tcPr>
            <w:tcW w:type="dxa" w:w="2600"/>
            <w:shd w:fill="FFFFFF" w:val="clear"/>
            <w:tcMar>
              <w:top w:type="dxa" w:w="60"/>
              <w:left w:type="dxa" w:w="80"/>
              <w:bottom w:type="dxa" w:w="60"/>
              <w:right w:type="dxa" w:w="80"/>
            </w:tcMar>
          </w:tcPr>
          <w:p>
            <w:r>
              <w:rPr>
                <w:sz w:val="19"/>
                <w:szCs w:val="19"/>
              </w:rPr>
              <w:t xml:space="preserve">Reference tenant acceptance</w:t>
            </w:r>
          </w:p>
        </w:tc>
        <w:tc>
          <w:tcPr>
            <w:tcW w:type="dxa" w:w="4300"/>
            <w:shd w:fill="FFFFFF" w:val="clear"/>
            <w:tcMar>
              <w:top w:type="dxa" w:w="60"/>
              <w:left w:type="dxa" w:w="80"/>
              <w:bottom w:type="dxa" w:w="60"/>
              <w:right w:type="dxa" w:w="80"/>
            </w:tcMar>
          </w:tcPr>
          <w:p>
            <w:r>
              <w:rPr>
                <w:sz w:val="19"/>
                <w:szCs w:val="19"/>
              </w:rPr>
              <w:t xml:space="preserve">End-to-end business scenarios for XYZ Bank, then ABC Finance, executed as UAT-style scripts</w:t>
            </w:r>
          </w:p>
        </w:tc>
        <w:tc>
          <w:tcPr>
            <w:tcW w:type="dxa" w:w="2400"/>
            <w:shd w:fill="FFFFFF" w:val="clear"/>
            <w:tcMar>
              <w:top w:type="dxa" w:w="60"/>
              <w:left w:type="dxa" w:w="80"/>
              <w:bottom w:type="dxa" w:w="60"/>
              <w:right w:type="dxa" w:w="80"/>
            </w:tcMar>
          </w:tcPr>
          <w:p>
            <w:r>
              <w:rPr>
                <w:sz w:val="19"/>
                <w:szCs w:val="19"/>
              </w:rPr>
              <w:t xml:space="preserve">End of each phase, and in full after the product build</w:t>
            </w:r>
          </w:p>
        </w:tc>
      </w:tr>
    </w:tbl>
    <w:p>
      <w:pPr>
        <w:spacing w:after="120"/>
      </w:pPr>
    </w:p>
    <w:p>
      <w:pPr>
        <w:spacing w:after="160"/>
        <w:ind w:left="360"/>
      </w:pPr>
      <w:r>
        <w:rPr>
          <w:i/>
          <w:iCs/>
          <w:color w:val="595959"/>
          <w:sz w:val="20"/>
          <w:szCs w:val="20"/>
        </w:rPr>
        <w:t xml:space="preserve">Companion artifact: the Creditum Core Field Library (v1.0) — the generic field set with replacements resolved for jurisdiction/vendor-specific fields, standard Mandatory/Optional/Conditional status, target module, and the industry basis for each rule — is issued as a separate workbook and serves as the seed data for the field registry in Phase 0.</w:t>
      </w:r>
    </w:p>
    <w:p>
      <w:pPr>
        <w:pStyle w:val="Heading1"/>
        <w:pageBreakBefore/>
        <w:spacing w:after="200" w:before="400"/>
      </w:pPr>
      <w:r>
        <w:rPr>
          <w:b/>
          <w:bCs/>
          <w:color w:val="1F3864"/>
          <w:sz w:val="32"/>
          <w:szCs w:val="32"/>
        </w:rPr>
        <w:t xml:space="preserve">Appendix A: Glossary</w:t>
      </w:r>
    </w:p>
    <w:p>
      <w:pPr>
        <w:spacing w:after="160"/>
      </w:pPr>
      <w:r>
        <w:rPr>
          <w:sz w:val="21"/>
          <w:szCs w:val="21"/>
        </w:rPr>
        <w:t xml:space="preserve">Every workflow stage code, role abbreviation, and system name used in a client-specific configuration of this platform must have an entry here before that configuration is considered build-ready. Starter entries: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6300"/>
      </w:tblGrid>
      <w:tr>
        <w:trPr>
          <w:tblHeader/>
        </w:trPr>
        <w:tc>
          <w:tcPr>
            <w:tcW w:type="dxa" w:w="3000"/>
            <w:shd w:fill="1F3864" w:val="clear"/>
            <w:tcMar>
              <w:top w:type="dxa" w:w="60"/>
              <w:left w:type="dxa" w:w="80"/>
              <w:bottom w:type="dxa" w:w="60"/>
              <w:right w:type="dxa" w:w="80"/>
            </w:tcMar>
          </w:tcPr>
          <w:p>
            <w:r>
              <w:rPr>
                <w:b/>
                <w:bCs/>
                <w:color w:val="FFFFFF"/>
                <w:sz w:val="19"/>
                <w:szCs w:val="19"/>
              </w:rPr>
              <w:t xml:space="preserve">Term / Code</w:t>
            </w:r>
          </w:p>
        </w:tc>
        <w:tc>
          <w:tcPr>
            <w:tcW w:type="dxa" w:w="6300"/>
            <w:shd w:fill="1F3864" w:val="clear"/>
            <w:tcMar>
              <w:top w:type="dxa" w:w="60"/>
              <w:left w:type="dxa" w:w="80"/>
              <w:bottom w:type="dxa" w:w="60"/>
              <w:right w:type="dxa" w:w="80"/>
            </w:tcMar>
          </w:tcPr>
          <w:p>
            <w:r>
              <w:rPr>
                <w:b/>
                <w:bCs/>
                <w:color w:val="FFFFFF"/>
                <w:sz w:val="19"/>
                <w:szCs w:val="19"/>
              </w:rPr>
              <w:t xml:space="preserve">Expansion</w:t>
            </w:r>
          </w:p>
        </w:tc>
      </w:tr>
      <w:tr>
        <w:tc>
          <w:tcPr>
            <w:tcW w:type="dxa" w:w="3000"/>
            <w:shd w:fill="FFFFFF" w:val="clear"/>
            <w:tcMar>
              <w:top w:type="dxa" w:w="60"/>
              <w:left w:type="dxa" w:w="80"/>
              <w:bottom w:type="dxa" w:w="60"/>
              <w:right w:type="dxa" w:w="80"/>
            </w:tcMar>
          </w:tcPr>
          <w:p>
            <w:r>
              <w:rPr>
                <w:sz w:val="19"/>
                <w:szCs w:val="19"/>
              </w:rPr>
              <w:t xml:space="preserve">RO</w:t>
            </w:r>
          </w:p>
        </w:tc>
        <w:tc>
          <w:tcPr>
            <w:tcW w:type="dxa" w:w="6300"/>
            <w:shd w:fill="FFFFFF" w:val="clear"/>
            <w:tcMar>
              <w:top w:type="dxa" w:w="60"/>
              <w:left w:type="dxa" w:w="80"/>
              <w:bottom w:type="dxa" w:w="60"/>
              <w:right w:type="dxa" w:w="80"/>
            </w:tcMar>
          </w:tcPr>
          <w:p>
            <w:r>
              <w:rPr>
                <w:sz w:val="19"/>
                <w:szCs w:val="19"/>
              </w:rPr>
              <w:t xml:space="preserve">Relationship Officer</w:t>
            </w:r>
          </w:p>
        </w:tc>
      </w:tr>
      <w:tr>
        <w:tc>
          <w:tcPr>
            <w:tcW w:type="dxa" w:w="3000"/>
            <w:shd w:fill="DCE6F1" w:val="clear"/>
            <w:tcMar>
              <w:top w:type="dxa" w:w="60"/>
              <w:left w:type="dxa" w:w="80"/>
              <w:bottom w:type="dxa" w:w="60"/>
              <w:right w:type="dxa" w:w="80"/>
            </w:tcMar>
          </w:tcPr>
          <w:p>
            <w:r>
              <w:rPr>
                <w:sz w:val="19"/>
                <w:szCs w:val="19"/>
              </w:rPr>
              <w:t xml:space="preserve">DSCR</w:t>
            </w:r>
          </w:p>
        </w:tc>
        <w:tc>
          <w:tcPr>
            <w:tcW w:type="dxa" w:w="6300"/>
            <w:shd w:fill="DCE6F1" w:val="clear"/>
            <w:tcMar>
              <w:top w:type="dxa" w:w="60"/>
              <w:left w:type="dxa" w:w="80"/>
              <w:bottom w:type="dxa" w:w="60"/>
              <w:right w:type="dxa" w:w="80"/>
            </w:tcMar>
          </w:tcPr>
          <w:p>
            <w:r>
              <w:rPr>
                <w:sz w:val="19"/>
                <w:szCs w:val="19"/>
              </w:rPr>
              <w:t xml:space="preserve">Debt Service Coverage Ratio</w:t>
            </w:r>
          </w:p>
        </w:tc>
      </w:tr>
      <w:tr>
        <w:tc>
          <w:tcPr>
            <w:tcW w:type="dxa" w:w="3000"/>
            <w:shd w:fill="FFFFFF" w:val="clear"/>
            <w:tcMar>
              <w:top w:type="dxa" w:w="60"/>
              <w:left w:type="dxa" w:w="80"/>
              <w:bottom w:type="dxa" w:w="60"/>
              <w:right w:type="dxa" w:w="80"/>
            </w:tcMar>
          </w:tcPr>
          <w:p>
            <w:r>
              <w:rPr>
                <w:sz w:val="19"/>
                <w:szCs w:val="19"/>
              </w:rPr>
              <w:t xml:space="preserve">LTV</w:t>
            </w:r>
          </w:p>
        </w:tc>
        <w:tc>
          <w:tcPr>
            <w:tcW w:type="dxa" w:w="6300"/>
            <w:shd w:fill="FFFFFF" w:val="clear"/>
            <w:tcMar>
              <w:top w:type="dxa" w:w="60"/>
              <w:left w:type="dxa" w:w="80"/>
              <w:bottom w:type="dxa" w:w="60"/>
              <w:right w:type="dxa" w:w="80"/>
            </w:tcMar>
          </w:tcPr>
          <w:p>
            <w:r>
              <w:rPr>
                <w:sz w:val="19"/>
                <w:szCs w:val="19"/>
              </w:rPr>
              <w:t xml:space="preserve">Loan-to-Value</w:t>
            </w:r>
          </w:p>
        </w:tc>
      </w:tr>
      <w:tr>
        <w:tc>
          <w:tcPr>
            <w:tcW w:type="dxa" w:w="3000"/>
            <w:shd w:fill="DCE6F1" w:val="clear"/>
            <w:tcMar>
              <w:top w:type="dxa" w:w="60"/>
              <w:left w:type="dxa" w:w="80"/>
              <w:bottom w:type="dxa" w:w="60"/>
              <w:right w:type="dxa" w:w="80"/>
            </w:tcMar>
          </w:tcPr>
          <w:p>
            <w:r>
              <w:rPr>
                <w:sz w:val="19"/>
                <w:szCs w:val="19"/>
              </w:rPr>
              <w:t xml:space="preserve">ROC</w:t>
            </w:r>
          </w:p>
        </w:tc>
        <w:tc>
          <w:tcPr>
            <w:tcW w:type="dxa" w:w="6300"/>
            <w:shd w:fill="DCE6F1" w:val="clear"/>
            <w:tcMar>
              <w:top w:type="dxa" w:w="60"/>
              <w:left w:type="dxa" w:w="80"/>
              <w:bottom w:type="dxa" w:w="60"/>
              <w:right w:type="dxa" w:w="80"/>
            </w:tcMar>
          </w:tcPr>
          <w:p>
            <w:r>
              <w:rPr>
                <w:sz w:val="19"/>
                <w:szCs w:val="19"/>
              </w:rPr>
              <w:t xml:space="preserve">Return on Capital</w:t>
            </w:r>
          </w:p>
        </w:tc>
      </w:tr>
      <w:tr>
        <w:tc>
          <w:tcPr>
            <w:tcW w:type="dxa" w:w="3000"/>
            <w:shd w:fill="FFFFFF" w:val="clear"/>
            <w:tcMar>
              <w:top w:type="dxa" w:w="60"/>
              <w:left w:type="dxa" w:w="80"/>
              <w:bottom w:type="dxa" w:w="60"/>
              <w:right w:type="dxa" w:w="80"/>
            </w:tcMar>
          </w:tcPr>
          <w:p>
            <w:r>
              <w:rPr>
                <w:sz w:val="19"/>
                <w:szCs w:val="19"/>
              </w:rPr>
              <w:t xml:space="preserve">RAROC</w:t>
            </w:r>
          </w:p>
        </w:tc>
        <w:tc>
          <w:tcPr>
            <w:tcW w:type="dxa" w:w="6300"/>
            <w:shd w:fill="FFFFFF" w:val="clear"/>
            <w:tcMar>
              <w:top w:type="dxa" w:w="60"/>
              <w:left w:type="dxa" w:w="80"/>
              <w:bottom w:type="dxa" w:w="60"/>
              <w:right w:type="dxa" w:w="80"/>
            </w:tcMar>
          </w:tcPr>
          <w:p>
            <w:r>
              <w:rPr>
                <w:sz w:val="19"/>
                <w:szCs w:val="19"/>
              </w:rPr>
              <w:t xml:space="preserve">Risk-Adjusted Return on Capital</w:t>
            </w:r>
          </w:p>
        </w:tc>
      </w:tr>
      <w:tr>
        <w:tc>
          <w:tcPr>
            <w:tcW w:type="dxa" w:w="3000"/>
            <w:shd w:fill="DCE6F1" w:val="clear"/>
            <w:tcMar>
              <w:top w:type="dxa" w:w="60"/>
              <w:left w:type="dxa" w:w="80"/>
              <w:bottom w:type="dxa" w:w="60"/>
              <w:right w:type="dxa" w:w="80"/>
            </w:tcMar>
          </w:tcPr>
          <w:p>
            <w:r>
              <w:rPr>
                <w:sz w:val="19"/>
                <w:szCs w:val="19"/>
              </w:rPr>
              <w:t xml:space="preserve">KYC/AML</w:t>
            </w:r>
          </w:p>
        </w:tc>
        <w:tc>
          <w:tcPr>
            <w:tcW w:type="dxa" w:w="6300"/>
            <w:shd w:fill="DCE6F1" w:val="clear"/>
            <w:tcMar>
              <w:top w:type="dxa" w:w="60"/>
              <w:left w:type="dxa" w:w="80"/>
              <w:bottom w:type="dxa" w:w="60"/>
              <w:right w:type="dxa" w:w="80"/>
            </w:tcMar>
          </w:tcPr>
          <w:p>
            <w:r>
              <w:rPr>
                <w:sz w:val="19"/>
                <w:szCs w:val="19"/>
              </w:rPr>
              <w:t xml:space="preserve">Know Your Customer / Anti-Money Laundering</w:t>
            </w:r>
          </w:p>
        </w:tc>
      </w:tr>
      <w:tr>
        <w:tc>
          <w:tcPr>
            <w:tcW w:type="dxa" w:w="3000"/>
            <w:shd w:fill="FFFFFF" w:val="clear"/>
            <w:tcMar>
              <w:top w:type="dxa" w:w="60"/>
              <w:left w:type="dxa" w:w="80"/>
              <w:bottom w:type="dxa" w:w="60"/>
              <w:right w:type="dxa" w:w="80"/>
            </w:tcMar>
          </w:tcPr>
          <w:p>
            <w:r>
              <w:rPr>
                <w:sz w:val="19"/>
                <w:szCs w:val="19"/>
              </w:rPr>
              <w:t xml:space="preserve">SLA</w:t>
            </w:r>
          </w:p>
        </w:tc>
        <w:tc>
          <w:tcPr>
            <w:tcW w:type="dxa" w:w="6300"/>
            <w:shd w:fill="FFFFFF" w:val="clear"/>
            <w:tcMar>
              <w:top w:type="dxa" w:w="60"/>
              <w:left w:type="dxa" w:w="80"/>
              <w:bottom w:type="dxa" w:w="60"/>
              <w:right w:type="dxa" w:w="80"/>
            </w:tcMar>
          </w:tcPr>
          <w:p>
            <w:r>
              <w:rPr>
                <w:sz w:val="19"/>
                <w:szCs w:val="19"/>
              </w:rPr>
              <w:t xml:space="preserve">Service Level Agreement</w:t>
            </w:r>
          </w:p>
        </w:tc>
      </w:tr>
      <w:tr>
        <w:tc>
          <w:tcPr>
            <w:tcW w:type="dxa" w:w="3000"/>
            <w:shd w:fill="FFFFFF" w:val="clear"/>
            <w:tcMar>
              <w:top w:type="dxa" w:w="60"/>
              <w:left w:type="dxa" w:w="80"/>
              <w:bottom w:type="dxa" w:w="60"/>
              <w:right w:type="dxa" w:w="80"/>
            </w:tcMar>
          </w:tcPr>
          <w:p>
            <w:r>
              <w:rPr>
                <w:sz w:val="19"/>
                <w:szCs w:val="19"/>
              </w:rPr>
              <w:t xml:space="preserve">Creditum</w:t>
            </w:r>
          </w:p>
        </w:tc>
        <w:tc>
          <w:tcPr>
            <w:tcW w:type="dxa" w:w="6300"/>
            <w:shd w:fill="FFFFFF" w:val="clear"/>
            <w:tcMar>
              <w:top w:type="dxa" w:w="60"/>
              <w:left w:type="dxa" w:w="80"/>
              <w:bottom w:type="dxa" w:w="60"/>
              <w:right w:type="dxa" w:w="80"/>
            </w:tcMar>
          </w:tcPr>
          <w:p>
            <w:r>
              <w:rPr>
                <w:sz w:val="19"/>
                <w:szCs w:val="19"/>
              </w:rPr>
              <w:t xml:space="preserve">The platform described in this document (Latin creditum: ‘a thing entrusted; a loan’). Product of Integrata</w:t>
            </w:r>
          </w:p>
        </w:tc>
      </w:tr>
      <w:tr>
        <w:tc>
          <w:tcPr>
            <w:tcW w:type="dxa" w:w="3000"/>
            <w:shd w:fill="FFFFFF" w:val="clear"/>
            <w:tcMar>
              <w:top w:type="dxa" w:w="60"/>
              <w:left w:type="dxa" w:w="80"/>
              <w:bottom w:type="dxa" w:w="60"/>
              <w:right w:type="dxa" w:w="80"/>
            </w:tcMar>
          </w:tcPr>
          <w:p>
            <w:r>
              <w:rPr>
                <w:sz w:val="19"/>
                <w:szCs w:val="19"/>
              </w:rPr>
              <w:t xml:space="preserve">DCR</w:t>
            </w:r>
          </w:p>
        </w:tc>
        <w:tc>
          <w:tcPr>
            <w:tcW w:type="dxa" w:w="6300"/>
            <w:shd w:fill="FFFFFF" w:val="clear"/>
            <w:tcMar>
              <w:top w:type="dxa" w:w="60"/>
              <w:left w:type="dxa" w:w="80"/>
              <w:bottom w:type="dxa" w:w="60"/>
              <w:right w:type="dxa" w:w="80"/>
            </w:tcMar>
          </w:tcPr>
          <w:p>
            <w:r>
              <w:rPr>
                <w:sz w:val="19"/>
                <w:szCs w:val="19"/>
              </w:rPr>
              <w:t xml:space="preserve">Domestic Credit Request — NBK’s term for a credit request in the reference engagement. Generic equivalent in Creditum: Credit Request</w:t>
            </w:r>
          </w:p>
        </w:tc>
      </w:tr>
      <w:tr>
        <w:tc>
          <w:tcPr>
            <w:tcW w:type="dxa" w:w="3000"/>
            <w:shd w:fill="FFFFFF" w:val="clear"/>
            <w:tcMar>
              <w:top w:type="dxa" w:w="60"/>
              <w:left w:type="dxa" w:w="80"/>
              <w:bottom w:type="dxa" w:w="60"/>
              <w:right w:type="dxa" w:w="80"/>
            </w:tcMar>
          </w:tcPr>
          <w:p>
            <w:r>
              <w:rPr>
                <w:sz w:val="19"/>
                <w:szCs w:val="19"/>
              </w:rPr>
              <w:t xml:space="preserve">XYZ Bank</w:t>
            </w:r>
          </w:p>
        </w:tc>
        <w:tc>
          <w:tcPr>
            <w:tcW w:type="dxa" w:w="6300"/>
            <w:shd w:fill="FFFFFF" w:val="clear"/>
            <w:tcMar>
              <w:top w:type="dxa" w:w="60"/>
              <w:left w:type="dxa" w:w="80"/>
              <w:bottom w:type="dxa" w:w="60"/>
              <w:right w:type="dxa" w:w="80"/>
            </w:tcMar>
          </w:tcPr>
          <w:p>
            <w:r>
              <w:rPr>
                <w:sz w:val="19"/>
                <w:szCs w:val="19"/>
              </w:rPr>
              <w:t xml:space="preserve">Fictional reference tenant #1 used to configure and test Creditum (Section 19.5)</w:t>
            </w:r>
          </w:p>
        </w:tc>
      </w:tr>
      <w:tr>
        <w:tc>
          <w:tcPr>
            <w:tcW w:type="dxa" w:w="3000"/>
            <w:shd w:fill="FFFFFF" w:val="clear"/>
            <w:tcMar>
              <w:top w:type="dxa" w:w="60"/>
              <w:left w:type="dxa" w:w="80"/>
              <w:bottom w:type="dxa" w:w="60"/>
              <w:right w:type="dxa" w:w="80"/>
            </w:tcMar>
          </w:tcPr>
          <w:p>
            <w:r>
              <w:rPr>
                <w:sz w:val="19"/>
                <w:szCs w:val="19"/>
              </w:rPr>
              <w:t xml:space="preserve">ABC Finance</w:t>
            </w:r>
          </w:p>
        </w:tc>
        <w:tc>
          <w:tcPr>
            <w:tcW w:type="dxa" w:w="6300"/>
            <w:shd w:fill="FFFFFF" w:val="clear"/>
            <w:tcMar>
              <w:top w:type="dxa" w:w="60"/>
              <w:left w:type="dxa" w:w="80"/>
              <w:bottom w:type="dxa" w:w="60"/>
              <w:right w:type="dxa" w:w="80"/>
            </w:tcMar>
          </w:tcPr>
          <w:p>
            <w:r>
              <w:rPr>
                <w:sz w:val="19"/>
                <w:szCs w:val="19"/>
              </w:rPr>
              <w:t xml:space="preserve">Fictional reference tenant #2 (NBFC profile) used for the Two-Tenant Test (Section 19.5)</w:t>
            </w:r>
          </w:p>
        </w:tc>
      </w:tr>
      <w:tr>
        <w:tc>
          <w:tcPr>
            <w:tcW w:type="dxa" w:w="3000"/>
            <w:shd w:fill="FFFFFF" w:val="clear"/>
            <w:tcMar>
              <w:top w:type="dxa" w:w="60"/>
              <w:left w:type="dxa" w:w="80"/>
              <w:bottom w:type="dxa" w:w="60"/>
              <w:right w:type="dxa" w:w="80"/>
            </w:tcMar>
          </w:tcPr>
          <w:p>
            <w:r>
              <w:rPr>
                <w:sz w:val="19"/>
                <w:szCs w:val="19"/>
              </w:rPr>
              <w:t xml:space="preserve">NBFC</w:t>
            </w:r>
          </w:p>
        </w:tc>
        <w:tc>
          <w:tcPr>
            <w:tcW w:type="dxa" w:w="6300"/>
            <w:shd w:fill="FFFFFF" w:val="clear"/>
            <w:tcMar>
              <w:top w:type="dxa" w:w="60"/>
              <w:left w:type="dxa" w:w="80"/>
              <w:bottom w:type="dxa" w:w="60"/>
              <w:right w:type="dxa" w:w="80"/>
            </w:tcMar>
          </w:tcPr>
          <w:p>
            <w:r>
              <w:rPr>
                <w:sz w:val="19"/>
                <w:szCs w:val="19"/>
              </w:rPr>
              <w:t xml:space="preserve">Non-Banking Financial Company</w:t>
            </w:r>
          </w:p>
        </w:tc>
      </w:tr>
      <w:tr>
        <w:tc>
          <w:tcPr>
            <w:tcW w:type="dxa" w:w="3000"/>
            <w:shd w:fill="FFFFFF" w:val="clear"/>
            <w:tcMar>
              <w:top w:type="dxa" w:w="60"/>
              <w:left w:type="dxa" w:w="80"/>
              <w:bottom w:type="dxa" w:w="60"/>
              <w:right w:type="dxa" w:w="80"/>
            </w:tcMar>
          </w:tcPr>
          <w:p>
            <w:r>
              <w:rPr>
                <w:sz w:val="19"/>
                <w:szCs w:val="19"/>
              </w:rPr>
              <w:t xml:space="preserve">ASVS</w:t>
            </w:r>
          </w:p>
        </w:tc>
        <w:tc>
          <w:tcPr>
            <w:tcW w:type="dxa" w:w="6300"/>
            <w:shd w:fill="FFFFFF" w:val="clear"/>
            <w:tcMar>
              <w:top w:type="dxa" w:w="60"/>
              <w:left w:type="dxa" w:w="80"/>
              <w:bottom w:type="dxa" w:w="60"/>
              <w:right w:type="dxa" w:w="80"/>
            </w:tcMar>
          </w:tcPr>
          <w:p>
            <w:r>
              <w:rPr>
                <w:sz w:val="19"/>
                <w:szCs w:val="19"/>
              </w:rPr>
              <w:t xml:space="preserve">OWASP Application Security Verification Standard</w:t>
            </w:r>
          </w:p>
        </w:tc>
      </w:tr>
      <w:tr>
        <w:tc>
          <w:tcPr>
            <w:tcW w:type="dxa" w:w="3000"/>
            <w:shd w:fill="FFFFFF" w:val="clear"/>
            <w:tcMar>
              <w:top w:type="dxa" w:w="60"/>
              <w:left w:type="dxa" w:w="80"/>
              <w:bottom w:type="dxa" w:w="60"/>
              <w:right w:type="dxa" w:w="80"/>
            </w:tcMar>
          </w:tcPr>
          <w:p>
            <w:r>
              <w:rPr>
                <w:sz w:val="19"/>
                <w:szCs w:val="19"/>
              </w:rPr>
              <w:t xml:space="preserve">OWASP</w:t>
            </w:r>
          </w:p>
        </w:tc>
        <w:tc>
          <w:tcPr>
            <w:tcW w:type="dxa" w:w="6300"/>
            <w:shd w:fill="FFFFFF" w:val="clear"/>
            <w:tcMar>
              <w:top w:type="dxa" w:w="60"/>
              <w:left w:type="dxa" w:w="80"/>
              <w:bottom w:type="dxa" w:w="60"/>
              <w:right w:type="dxa" w:w="80"/>
            </w:tcMar>
          </w:tcPr>
          <w:p>
            <w:r>
              <w:rPr>
                <w:sz w:val="19"/>
                <w:szCs w:val="19"/>
              </w:rPr>
              <w:t xml:space="preserve">Open Worldwide Application Security Project</w:t>
            </w:r>
          </w:p>
        </w:tc>
      </w:tr>
      <w:tr>
        <w:tc>
          <w:tcPr>
            <w:tcW w:type="dxa" w:w="3000"/>
            <w:shd w:fill="FFFFFF" w:val="clear"/>
            <w:tcMar>
              <w:top w:type="dxa" w:w="60"/>
              <w:left w:type="dxa" w:w="80"/>
              <w:bottom w:type="dxa" w:w="60"/>
              <w:right w:type="dxa" w:w="80"/>
            </w:tcMar>
          </w:tcPr>
          <w:p>
            <w:r>
              <w:rPr>
                <w:sz w:val="19"/>
                <w:szCs w:val="19"/>
              </w:rPr>
              <w:t xml:space="preserve">SAST / DAST</w:t>
            </w:r>
          </w:p>
        </w:tc>
        <w:tc>
          <w:tcPr>
            <w:tcW w:type="dxa" w:w="6300"/>
            <w:shd w:fill="FFFFFF" w:val="clear"/>
            <w:tcMar>
              <w:top w:type="dxa" w:w="60"/>
              <w:left w:type="dxa" w:w="80"/>
              <w:bottom w:type="dxa" w:w="60"/>
              <w:right w:type="dxa" w:w="80"/>
            </w:tcMar>
          </w:tcPr>
          <w:p>
            <w:r>
              <w:rPr>
                <w:sz w:val="19"/>
                <w:szCs w:val="19"/>
              </w:rPr>
              <w:t xml:space="preserve">Static / Dynamic Application Security Testing</w:t>
            </w:r>
          </w:p>
        </w:tc>
      </w:tr>
      <w:tr>
        <w:tc>
          <w:tcPr>
            <w:tcW w:type="dxa" w:w="3000"/>
            <w:shd w:fill="FFFFFF" w:val="clear"/>
            <w:tcMar>
              <w:top w:type="dxa" w:w="60"/>
              <w:left w:type="dxa" w:w="80"/>
              <w:bottom w:type="dxa" w:w="60"/>
              <w:right w:type="dxa" w:w="80"/>
            </w:tcMar>
          </w:tcPr>
          <w:p>
            <w:r>
              <w:rPr>
                <w:sz w:val="19"/>
                <w:szCs w:val="19"/>
              </w:rPr>
              <w:t xml:space="preserve">SCA</w:t>
            </w:r>
          </w:p>
        </w:tc>
        <w:tc>
          <w:tcPr>
            <w:tcW w:type="dxa" w:w="6300"/>
            <w:shd w:fill="FFFFFF" w:val="clear"/>
            <w:tcMar>
              <w:top w:type="dxa" w:w="60"/>
              <w:left w:type="dxa" w:w="80"/>
              <w:bottom w:type="dxa" w:w="60"/>
              <w:right w:type="dxa" w:w="80"/>
            </w:tcMar>
          </w:tcPr>
          <w:p>
            <w:r>
              <w:rPr>
                <w:sz w:val="19"/>
                <w:szCs w:val="19"/>
              </w:rPr>
              <w:t xml:space="preserve">Software Composition Analysis (third-party dependency scanning)</w:t>
            </w:r>
          </w:p>
        </w:tc>
      </w:tr>
      <w:tr>
        <w:tc>
          <w:tcPr>
            <w:tcW w:type="dxa" w:w="3000"/>
            <w:shd w:fill="FFFFFF" w:val="clear"/>
            <w:tcMar>
              <w:top w:type="dxa" w:w="60"/>
              <w:left w:type="dxa" w:w="80"/>
              <w:bottom w:type="dxa" w:w="60"/>
              <w:right w:type="dxa" w:w="80"/>
            </w:tcMar>
          </w:tcPr>
          <w:p>
            <w:r>
              <w:rPr>
                <w:sz w:val="19"/>
                <w:szCs w:val="19"/>
              </w:rPr>
              <w:t xml:space="preserve">SBOM</w:t>
            </w:r>
          </w:p>
        </w:tc>
        <w:tc>
          <w:tcPr>
            <w:tcW w:type="dxa" w:w="6300"/>
            <w:shd w:fill="FFFFFF" w:val="clear"/>
            <w:tcMar>
              <w:top w:type="dxa" w:w="60"/>
              <w:left w:type="dxa" w:w="80"/>
              <w:bottom w:type="dxa" w:w="60"/>
              <w:right w:type="dxa" w:w="80"/>
            </w:tcMar>
          </w:tcPr>
          <w:p>
            <w:r>
              <w:rPr>
                <w:sz w:val="19"/>
                <w:szCs w:val="19"/>
              </w:rPr>
              <w:t xml:space="preserve">Software Bill of Materials</w:t>
            </w:r>
          </w:p>
        </w:tc>
      </w:tr>
      <w:tr>
        <w:tc>
          <w:tcPr>
            <w:tcW w:type="dxa" w:w="3000"/>
            <w:shd w:fill="FFFFFF" w:val="clear"/>
            <w:tcMar>
              <w:top w:type="dxa" w:w="60"/>
              <w:left w:type="dxa" w:w="80"/>
              <w:bottom w:type="dxa" w:w="60"/>
              <w:right w:type="dxa" w:w="80"/>
            </w:tcMar>
          </w:tcPr>
          <w:p>
            <w:r>
              <w:rPr>
                <w:sz w:val="19"/>
                <w:szCs w:val="19"/>
              </w:rPr>
              <w:t xml:space="preserve">SIEM</w:t>
            </w:r>
          </w:p>
        </w:tc>
        <w:tc>
          <w:tcPr>
            <w:tcW w:type="dxa" w:w="6300"/>
            <w:shd w:fill="FFFFFF" w:val="clear"/>
            <w:tcMar>
              <w:top w:type="dxa" w:w="60"/>
              <w:left w:type="dxa" w:w="80"/>
              <w:bottom w:type="dxa" w:w="60"/>
              <w:right w:type="dxa" w:w="80"/>
            </w:tcMar>
          </w:tcPr>
          <w:p>
            <w:r>
              <w:rPr>
                <w:sz w:val="19"/>
                <w:szCs w:val="19"/>
              </w:rPr>
              <w:t xml:space="preserve">Security Information and Event Management</w:t>
            </w:r>
          </w:p>
        </w:tc>
      </w:tr>
      <w:tr>
        <w:tc>
          <w:tcPr>
            <w:tcW w:type="dxa" w:w="3000"/>
            <w:shd w:fill="FFFFFF" w:val="clear"/>
            <w:tcMar>
              <w:top w:type="dxa" w:w="60"/>
              <w:left w:type="dxa" w:w="80"/>
              <w:bottom w:type="dxa" w:w="60"/>
              <w:right w:type="dxa" w:w="80"/>
            </w:tcMar>
          </w:tcPr>
          <w:p>
            <w:r>
              <w:rPr>
                <w:sz w:val="19"/>
                <w:szCs w:val="19"/>
              </w:rPr>
              <w:t xml:space="preserve">KMS / HSM</w:t>
            </w:r>
          </w:p>
        </w:tc>
        <w:tc>
          <w:tcPr>
            <w:tcW w:type="dxa" w:w="6300"/>
            <w:shd w:fill="FFFFFF" w:val="clear"/>
            <w:tcMar>
              <w:top w:type="dxa" w:w="60"/>
              <w:left w:type="dxa" w:w="80"/>
              <w:bottom w:type="dxa" w:w="60"/>
              <w:right w:type="dxa" w:w="80"/>
            </w:tcMar>
          </w:tcPr>
          <w:p>
            <w:r>
              <w:rPr>
                <w:sz w:val="19"/>
                <w:szCs w:val="19"/>
              </w:rPr>
              <w:t xml:space="preserve">Key Management Service / Hardware Security Module</w:t>
            </w:r>
          </w:p>
        </w:tc>
      </w:tr>
      <w:tr>
        <w:tc>
          <w:tcPr>
            <w:tcW w:type="dxa" w:w="3000"/>
            <w:shd w:fill="FFFFFF" w:val="clear"/>
            <w:tcMar>
              <w:top w:type="dxa" w:w="60"/>
              <w:left w:type="dxa" w:w="80"/>
              <w:bottom w:type="dxa" w:w="60"/>
              <w:right w:type="dxa" w:w="80"/>
            </w:tcMar>
          </w:tcPr>
          <w:p>
            <w:r>
              <w:rPr>
                <w:sz w:val="19"/>
                <w:szCs w:val="19"/>
              </w:rPr>
              <w:t xml:space="preserve">OIDC / SAML</w:t>
            </w:r>
          </w:p>
        </w:tc>
        <w:tc>
          <w:tcPr>
            <w:tcW w:type="dxa" w:w="6300"/>
            <w:shd w:fill="FFFFFF" w:val="clear"/>
            <w:tcMar>
              <w:top w:type="dxa" w:w="60"/>
              <w:left w:type="dxa" w:w="80"/>
              <w:bottom w:type="dxa" w:w="60"/>
              <w:right w:type="dxa" w:w="80"/>
            </w:tcMar>
          </w:tcPr>
          <w:p>
            <w:r>
              <w:rPr>
                <w:sz w:val="19"/>
                <w:szCs w:val="19"/>
              </w:rPr>
              <w:t xml:space="preserve">OpenID Connect / Security Assertion Markup Language — single sign-on protocols</w:t>
            </w:r>
          </w:p>
        </w:tc>
      </w:tr>
      <w:tr>
        <w:tc>
          <w:tcPr>
            <w:tcW w:type="dxa" w:w="3000"/>
            <w:shd w:fill="FFFFFF" w:val="clear"/>
            <w:tcMar>
              <w:top w:type="dxa" w:w="60"/>
              <w:left w:type="dxa" w:w="80"/>
              <w:bottom w:type="dxa" w:w="60"/>
              <w:right w:type="dxa" w:w="80"/>
            </w:tcMar>
          </w:tcPr>
          <w:p>
            <w:r>
              <w:rPr>
                <w:sz w:val="19"/>
                <w:szCs w:val="19"/>
              </w:rPr>
              <w:t xml:space="preserve">TLS</w:t>
            </w:r>
          </w:p>
        </w:tc>
        <w:tc>
          <w:tcPr>
            <w:tcW w:type="dxa" w:w="6300"/>
            <w:shd w:fill="FFFFFF" w:val="clear"/>
            <w:tcMar>
              <w:top w:type="dxa" w:w="60"/>
              <w:left w:type="dxa" w:w="80"/>
              <w:bottom w:type="dxa" w:w="60"/>
              <w:right w:type="dxa" w:w="80"/>
            </w:tcMar>
          </w:tcPr>
          <w:p>
            <w:r>
              <w:rPr>
                <w:sz w:val="19"/>
                <w:szCs w:val="19"/>
              </w:rPr>
              <w:t xml:space="preserve">Transport Layer Security</w:t>
            </w:r>
          </w:p>
        </w:tc>
      </w:tr>
      <w:tr>
        <w:tc>
          <w:tcPr>
            <w:tcW w:type="dxa" w:w="3000"/>
            <w:shd w:fill="FFFFFF" w:val="clear"/>
            <w:tcMar>
              <w:top w:type="dxa" w:w="60"/>
              <w:left w:type="dxa" w:w="80"/>
              <w:bottom w:type="dxa" w:w="60"/>
              <w:right w:type="dxa" w:w="80"/>
            </w:tcMar>
          </w:tcPr>
          <w:p>
            <w:r>
              <w:rPr>
                <w:sz w:val="19"/>
                <w:szCs w:val="19"/>
              </w:rPr>
              <w:t xml:space="preserve">CSRF</w:t>
            </w:r>
          </w:p>
        </w:tc>
        <w:tc>
          <w:tcPr>
            <w:tcW w:type="dxa" w:w="6300"/>
            <w:shd w:fill="FFFFFF" w:val="clear"/>
            <w:tcMar>
              <w:top w:type="dxa" w:w="60"/>
              <w:left w:type="dxa" w:w="80"/>
              <w:bottom w:type="dxa" w:w="60"/>
              <w:right w:type="dxa" w:w="80"/>
            </w:tcMar>
          </w:tcPr>
          <w:p>
            <w:r>
              <w:rPr>
                <w:sz w:val="19"/>
                <w:szCs w:val="19"/>
              </w:rPr>
              <w:t xml:space="preserve">Cross-Site Request Forgery</w:t>
            </w:r>
          </w:p>
        </w:tc>
      </w:tr>
      <w:tr>
        <w:tc>
          <w:tcPr>
            <w:tcW w:type="dxa" w:w="3000"/>
            <w:shd w:fill="FFFFFF" w:val="clear"/>
            <w:tcMar>
              <w:top w:type="dxa" w:w="60"/>
              <w:left w:type="dxa" w:w="80"/>
              <w:bottom w:type="dxa" w:w="60"/>
              <w:right w:type="dxa" w:w="80"/>
            </w:tcMar>
          </w:tcPr>
          <w:p>
            <w:r>
              <w:rPr>
                <w:sz w:val="19"/>
                <w:szCs w:val="19"/>
              </w:rPr>
              <w:t xml:space="preserve">BPMN</w:t>
            </w:r>
          </w:p>
        </w:tc>
        <w:tc>
          <w:tcPr>
            <w:tcW w:type="dxa" w:w="6300"/>
            <w:shd w:fill="FFFFFF" w:val="clear"/>
            <w:tcMar>
              <w:top w:type="dxa" w:w="60"/>
              <w:left w:type="dxa" w:w="80"/>
              <w:bottom w:type="dxa" w:w="60"/>
              <w:right w:type="dxa" w:w="80"/>
            </w:tcMar>
          </w:tcPr>
          <w:p>
            <w:r>
              <w:rPr>
                <w:sz w:val="19"/>
                <w:szCs w:val="19"/>
              </w:rPr>
              <w:t xml:space="preserve">Business Process Model and Notation</w:t>
            </w:r>
          </w:p>
        </w:tc>
      </w:tr>
      <w:tr>
        <w:tc>
          <w:tcPr>
            <w:tcW w:type="dxa" w:w="3000"/>
            <w:shd w:fill="FFFFFF" w:val="clear"/>
            <w:tcMar>
              <w:top w:type="dxa" w:w="60"/>
              <w:left w:type="dxa" w:w="80"/>
              <w:bottom w:type="dxa" w:w="60"/>
              <w:right w:type="dxa" w:w="80"/>
            </w:tcMar>
          </w:tcPr>
          <w:p>
            <w:r>
              <w:rPr>
                <w:sz w:val="19"/>
                <w:szCs w:val="19"/>
              </w:rPr>
              <w:t xml:space="preserve">UAT</w:t>
            </w:r>
          </w:p>
        </w:tc>
        <w:tc>
          <w:tcPr>
            <w:tcW w:type="dxa" w:w="6300"/>
            <w:shd w:fill="FFFFFF" w:val="clear"/>
            <w:tcMar>
              <w:top w:type="dxa" w:w="60"/>
              <w:left w:type="dxa" w:w="80"/>
              <w:bottom w:type="dxa" w:w="60"/>
              <w:right w:type="dxa" w:w="80"/>
            </w:tcMar>
          </w:tcPr>
          <w:p>
            <w:r>
              <w:rPr>
                <w:sz w:val="19"/>
                <w:szCs w:val="19"/>
              </w:rPr>
              <w:t xml:space="preserve">User Acceptance Testing</w:t>
            </w:r>
          </w:p>
        </w:tc>
      </w:tr>
      <w:tr>
        <w:tc>
          <w:tcPr>
            <w:tcW w:type="dxa" w:w="3000"/>
            <w:shd w:fill="DCE6F1" w:val="clear"/>
            <w:tcMar>
              <w:top w:type="dxa" w:w="60"/>
              <w:left w:type="dxa" w:w="80"/>
              <w:bottom w:type="dxa" w:w="60"/>
              <w:right w:type="dxa" w:w="80"/>
            </w:tcMar>
          </w:tcPr>
          <w:p>
            <w:r>
              <w:rPr>
                <w:sz w:val="19"/>
                <w:szCs w:val="19"/>
              </w:rPr>
              <w:t xml:space="preserve">[Client-specific codes]</w:t>
            </w:r>
          </w:p>
        </w:tc>
        <w:tc>
          <w:tcPr>
            <w:tcW w:type="dxa" w:w="6300"/>
            <w:shd w:fill="DCE6F1" w:val="clear"/>
            <w:tcMar>
              <w:top w:type="dxa" w:w="60"/>
              <w:left w:type="dxa" w:w="80"/>
              <w:bottom w:type="dxa" w:w="60"/>
              <w:right w:type="dxa" w:w="80"/>
            </w:tcMar>
          </w:tcPr>
          <w:p>
            <w:r>
              <w:rPr>
                <w:sz w:val="19"/>
                <w:szCs w:val="19"/>
              </w:rPr>
              <w:t xml:space="preserve">To be populated per implementation — no code ships without an entry here</w:t>
            </w:r>
          </w:p>
        </w:tc>
      </w:tr>
    </w:tbl>
    <w:p>
      <w:pPr>
        <w:pStyle w:val="Heading1"/>
        <w:pageBreakBefore/>
        <w:spacing w:after="200" w:before="400"/>
      </w:pPr>
      <w:r>
        <w:rPr>
          <w:b/>
          <w:bCs/>
          <w:color w:val="1F3864"/>
          <w:sz w:val="32"/>
          <w:szCs w:val="32"/>
        </w:rPr>
        <w:t xml:space="preserve">Appendix B: Configuration Tables — Fillable Templates</w:t>
      </w:r>
    </w:p>
    <w:p>
      <w:pPr>
        <w:spacing w:after="160"/>
      </w:pPr>
      <w:r>
        <w:rPr>
          <w:sz w:val="21"/>
          <w:szCs w:val="21"/>
        </w:rPr>
        <w:t xml:space="preserve">The full, consolidated list of every configurable item — what it is, who sets it, and where it's referenced — now lives in Section 18 (Configuration Requirements Register), so it is maintained in one place rather than duplicated here. Section 18 is organized into: 18.1 Organizational &amp; Role, 18.2 Product &amp; Facility, 18.3 Regulatory &amp; Risk, 18.4 Currency &amp; Locale, 18.5 Integration, 18.6 Dashboard/Pricing/Module, 18.7 User Management &amp; Identity, 18.8 Covenant Monitoring, and 18.9 Deployment &amp; Hosting configuration. Use Section 18 directly as the fillable template for a new client implementation.</w:t>
      </w:r>
    </w:p>
    <w:p>
      <w:pPr>
        <w:pStyle w:val="Heading1"/>
        <w:pageBreakBefore/>
        <w:spacing w:after="200" w:before="400"/>
      </w:pPr>
      <w:r>
        <w:rPr>
          <w:b/>
          <w:bCs/>
          <w:color w:val="1F3864"/>
          <w:sz w:val="32"/>
          <w:szCs w:val="32"/>
        </w:rPr>
        <w:t xml:space="preserve">Appendix C: Lessons Carried Forward From Reference Engagement</w:t>
      </w:r>
    </w:p>
    <w:p>
      <w:pPr>
        <w:spacing w:after="160"/>
      </w:pPr>
      <w:r>
        <w:rPr>
          <w:sz w:val="21"/>
          <w:szCs w:val="21"/>
        </w:rPr>
        <w:t xml:space="preserve">A short list of specific failure modes observed in a real bank's SDD/PRD, kept here as a standing checklist so they are not repeated:</w:t>
      </w:r>
    </w:p>
    <w:p>
      <w:pPr>
        <w:pStyle w:val="ListParagraph"/>
        <w:numPr>
          <w:ilvl w:val="0"/>
          <w:numId w:val="2"/>
        </w:numPr>
        <w:spacing w:after="80"/>
      </w:pPr>
      <w:r>
        <w:rPr>
          <w:sz w:val="21"/>
          <w:szCs w:val="21"/>
        </w:rPr>
        <w:t xml:space="preserve">A workflow stage code (‘S’) appeared in a routing table with no definition anywhere in the document — always expand codes in the Glossary on first use.</w:t>
      </w:r>
    </w:p>
    <w:p>
      <w:pPr>
        <w:pStyle w:val="ListParagraph"/>
        <w:numPr>
          <w:ilvl w:val="0"/>
          <w:numId w:val="2"/>
        </w:numPr>
        <w:spacing w:after="80"/>
      </w:pPr>
      <w:r>
        <w:rPr>
          <w:sz w:val="21"/>
          <w:szCs w:val="21"/>
        </w:rPr>
        <w:t xml:space="preserve">The same conceptual field (Coverage Ratio variants) appeared three times with contradictory editable/system-calculated settings and no formula — define each field once, centrally, and reference it rather than re-describing it per occurrence.</w:t>
      </w:r>
    </w:p>
    <w:p>
      <w:pPr>
        <w:pStyle w:val="ListParagraph"/>
        <w:numPr>
          <w:ilvl w:val="0"/>
          <w:numId w:val="2"/>
        </w:numPr>
        <w:spacing w:after="80"/>
      </w:pPr>
      <w:r>
        <w:rPr>
          <w:sz w:val="21"/>
          <w:szCs w:val="21"/>
        </w:rPr>
        <w:t xml:space="preserve">A worked example in the document was not updated when the underlying workflow table changed, leaving an internal inconsistency — treat worked examples as generated/derived content that must be re-validated whenever the source table changes, not hand-maintained separately.</w:t>
      </w:r>
    </w:p>
    <w:p>
      <w:pPr>
        <w:pStyle w:val="ListParagraph"/>
        <w:numPr>
          <w:ilvl w:val="0"/>
          <w:numId w:val="2"/>
        </w:numPr>
        <w:spacing w:after="80"/>
      </w:pPr>
      <w:r>
        <w:rPr>
          <w:sz w:val="21"/>
          <w:szCs w:val="21"/>
        </w:rPr>
        <w:t xml:space="preserve">Regulatory thresholds (single obligor limit, large exposure ceiling) were absent from the data model entirely — build these in as first-class configuration from the start, per Section 9, rather than retrofitting them.</w:t>
      </w:r>
    </w:p>
    <w:p>
      <w:pPr>
        <w:pStyle w:val="ListParagraph"/>
        <w:numPr>
          <w:ilvl w:val="0"/>
          <w:numId w:val="2"/>
        </w:numPr>
        <w:spacing w:after="80"/>
      </w:pPr>
      <w:r>
        <w:rPr>
          <w:sz w:val="21"/>
          <w:szCs w:val="21"/>
        </w:rPr>
        <w:t xml:space="preserve">Non-fund-based facility types had no Fixed/Revolving classification mapping — every catalog entry must have this field populated before go-live, per Section 5.1.</w:t>
      </w:r>
    </w:p>
    <w:p>
      <w:pPr>
        <w:pStyle w:val="Heading1"/>
        <w:pageBreakBefore/>
        <w:spacing w:after="200" w:before="400"/>
      </w:pPr>
      <w:r>
        <w:rPr>
          <w:b/>
          <w:bCs/>
          <w:color w:val="1F3864"/>
          <w:sz w:val="32"/>
          <w:szCs w:val="32"/>
        </w:rPr>
        <w:t xml:space="preserve">Appendix D: Project / Contract Finance Module (Optional)</w:t>
      </w:r>
    </w:p>
    <w:p>
      <w:pPr>
        <w:spacing w:after="160"/>
      </w:pPr>
      <w:r>
        <w:rPr>
          <w:sz w:val="21"/>
          <w:szCs w:val="21"/>
        </w:rPr>
        <w:t xml:space="preserve">For institutions lending against construction or project contracts, an optional repeatable grid capturing project-level detail, generalized from the reference engagement's pipeline-tracking requirement: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1F3864" w:val="clear"/>
            <w:tcMar>
              <w:top w:type="dxa" w:w="60"/>
              <w:left w:type="dxa" w:w="80"/>
              <w:bottom w:type="dxa" w:w="60"/>
              <w:right w:type="dxa" w:w="80"/>
            </w:tcMar>
          </w:tcPr>
          <w:p>
            <w:r>
              <w:rPr>
                <w:b/>
                <w:bCs/>
                <w:color w:val="FFFFFF"/>
                <w:sz w:val="19"/>
                <w:szCs w:val="19"/>
              </w:rPr>
              <w:t xml:space="preserve">Field</w:t>
            </w:r>
          </w:p>
        </w:tc>
        <w:tc>
          <w:tcPr>
            <w:tcW w:type="dxa" w:w="6000"/>
            <w:shd w:fill="1F3864" w:val="clear"/>
            <w:tcMar>
              <w:top w:type="dxa" w:w="60"/>
              <w:left w:type="dxa" w:w="80"/>
              <w:bottom w:type="dxa" w:w="60"/>
              <w:right w:type="dxa" w:w="80"/>
            </w:tcMar>
          </w:tcPr>
          <w:p>
            <w:r>
              <w:rPr>
                <w:b/>
                <w:bCs/>
                <w:color w:val="FFFFFF"/>
                <w:sz w:val="19"/>
                <w:szCs w:val="19"/>
              </w:rPr>
              <w:t xml:space="preserve">Notes</w:t>
            </w:r>
          </w:p>
        </w:tc>
      </w:tr>
      <w:tr>
        <w:tc>
          <w:tcPr>
            <w:tcW w:type="dxa" w:w="3000"/>
            <w:shd w:fill="FFFFFF" w:val="clear"/>
            <w:tcMar>
              <w:top w:type="dxa" w:w="60"/>
              <w:left w:type="dxa" w:w="80"/>
              <w:bottom w:type="dxa" w:w="60"/>
              <w:right w:type="dxa" w:w="80"/>
            </w:tcMar>
          </w:tcPr>
          <w:p>
            <w:r>
              <w:rPr>
                <w:sz w:val="19"/>
                <w:szCs w:val="19"/>
              </w:rPr>
              <w:t xml:space="preserve">Project Name</w:t>
            </w:r>
          </w:p>
        </w:tc>
        <w:tc>
          <w:tcPr>
            <w:tcW w:type="dxa" w:w="6000"/>
            <w:shd w:fill="FFFFFF" w:val="clear"/>
            <w:tcMar>
              <w:top w:type="dxa" w:w="60"/>
              <w:left w:type="dxa" w:w="80"/>
              <w:bottom w:type="dxa" w:w="60"/>
              <w:right w:type="dxa" w:w="80"/>
            </w:tcMar>
          </w:tcPr>
          <w:p>
            <w:r>
              <w:rPr>
                <w:sz w:val="19"/>
                <w:szCs w:val="19"/>
              </w:rPr>
              <w:t xml:space="preserve">—</w:t>
            </w:r>
          </w:p>
        </w:tc>
      </w:tr>
      <w:tr>
        <w:tc>
          <w:tcPr>
            <w:tcW w:type="dxa" w:w="3000"/>
            <w:shd w:fill="DCE6F1" w:val="clear"/>
            <w:tcMar>
              <w:top w:type="dxa" w:w="60"/>
              <w:left w:type="dxa" w:w="80"/>
              <w:bottom w:type="dxa" w:w="60"/>
              <w:right w:type="dxa" w:w="80"/>
            </w:tcMar>
          </w:tcPr>
          <w:p>
            <w:r>
              <w:rPr>
                <w:sz w:val="19"/>
                <w:szCs w:val="19"/>
              </w:rPr>
              <w:t xml:space="preserve">Location</w:t>
            </w:r>
          </w:p>
        </w:tc>
        <w:tc>
          <w:tcPr>
            <w:tcW w:type="dxa" w:w="6000"/>
            <w:shd w:fill="DCE6F1" w:val="clear"/>
            <w:tcMar>
              <w:top w:type="dxa" w:w="60"/>
              <w:left w:type="dxa" w:w="80"/>
              <w:bottom w:type="dxa" w:w="60"/>
              <w:right w:type="dxa" w:w="80"/>
            </w:tcMar>
          </w:tcPr>
          <w:p>
            <w:r>
              <w:rPr>
                <w:sz w:val="19"/>
                <w:szCs w:val="19"/>
              </w:rPr>
              <w:t xml:space="preserve">—</w:t>
            </w:r>
          </w:p>
        </w:tc>
      </w:tr>
      <w:tr>
        <w:tc>
          <w:tcPr>
            <w:tcW w:type="dxa" w:w="3000"/>
            <w:shd w:fill="FFFFFF" w:val="clear"/>
            <w:tcMar>
              <w:top w:type="dxa" w:w="60"/>
              <w:left w:type="dxa" w:w="80"/>
              <w:bottom w:type="dxa" w:w="60"/>
              <w:right w:type="dxa" w:w="80"/>
            </w:tcMar>
          </w:tcPr>
          <w:p>
            <w:r>
              <w:rPr>
                <w:sz w:val="19"/>
                <w:szCs w:val="19"/>
              </w:rPr>
              <w:t xml:space="preserve">Employer / Project Owner</w:t>
            </w:r>
          </w:p>
        </w:tc>
        <w:tc>
          <w:tcPr>
            <w:tcW w:type="dxa" w:w="6000"/>
            <w:shd w:fill="FFFFFF" w:val="clear"/>
            <w:tcMar>
              <w:top w:type="dxa" w:w="60"/>
              <w:left w:type="dxa" w:w="80"/>
              <w:bottom w:type="dxa" w:w="60"/>
              <w:right w:type="dxa" w:w="80"/>
            </w:tcMar>
          </w:tcPr>
          <w:p>
            <w:r>
              <w:rPr>
                <w:sz w:val="19"/>
                <w:szCs w:val="19"/>
              </w:rPr>
              <w:t xml:space="preserve">—</w:t>
            </w:r>
          </w:p>
        </w:tc>
      </w:tr>
      <w:tr>
        <w:tc>
          <w:tcPr>
            <w:tcW w:type="dxa" w:w="3000"/>
            <w:shd w:fill="DCE6F1" w:val="clear"/>
            <w:tcMar>
              <w:top w:type="dxa" w:w="60"/>
              <w:left w:type="dxa" w:w="80"/>
              <w:bottom w:type="dxa" w:w="60"/>
              <w:right w:type="dxa" w:w="80"/>
            </w:tcMar>
          </w:tcPr>
          <w:p>
            <w:r>
              <w:rPr>
                <w:sz w:val="19"/>
                <w:szCs w:val="19"/>
              </w:rPr>
              <w:t xml:space="preserve">Construction Manager</w:t>
            </w:r>
          </w:p>
        </w:tc>
        <w:tc>
          <w:tcPr>
            <w:tcW w:type="dxa" w:w="6000"/>
            <w:shd w:fill="DCE6F1" w:val="clear"/>
            <w:tcMar>
              <w:top w:type="dxa" w:w="60"/>
              <w:left w:type="dxa" w:w="80"/>
              <w:bottom w:type="dxa" w:w="60"/>
              <w:right w:type="dxa" w:w="80"/>
            </w:tcMar>
          </w:tcPr>
          <w:p>
            <w:r>
              <w:rPr>
                <w:sz w:val="19"/>
                <w:szCs w:val="19"/>
              </w:rPr>
              <w:t xml:space="preserve">—</w:t>
            </w:r>
          </w:p>
        </w:tc>
      </w:tr>
      <w:tr>
        <w:tc>
          <w:tcPr>
            <w:tcW w:type="dxa" w:w="3000"/>
            <w:shd w:fill="FFFFFF" w:val="clear"/>
            <w:tcMar>
              <w:top w:type="dxa" w:w="60"/>
              <w:left w:type="dxa" w:w="80"/>
              <w:bottom w:type="dxa" w:w="60"/>
              <w:right w:type="dxa" w:w="80"/>
            </w:tcMar>
          </w:tcPr>
          <w:p>
            <w:r>
              <w:rPr>
                <w:sz w:val="19"/>
                <w:szCs w:val="19"/>
              </w:rPr>
              <w:t xml:space="preserve">Consultant</w:t>
            </w:r>
          </w:p>
        </w:tc>
        <w:tc>
          <w:tcPr>
            <w:tcW w:type="dxa" w:w="6000"/>
            <w:shd w:fill="FFFFFF" w:val="clear"/>
            <w:tcMar>
              <w:top w:type="dxa" w:w="60"/>
              <w:left w:type="dxa" w:w="80"/>
              <w:bottom w:type="dxa" w:w="60"/>
              <w:right w:type="dxa" w:w="80"/>
            </w:tcMar>
          </w:tcPr>
          <w:p>
            <w:r>
              <w:rPr>
                <w:sz w:val="19"/>
                <w:szCs w:val="19"/>
              </w:rPr>
              <w:t xml:space="preserve">—</w:t>
            </w:r>
          </w:p>
        </w:tc>
      </w:tr>
      <w:tr>
        <w:tc>
          <w:tcPr>
            <w:tcW w:type="dxa" w:w="3000"/>
            <w:shd w:fill="DCE6F1" w:val="clear"/>
            <w:tcMar>
              <w:top w:type="dxa" w:w="60"/>
              <w:left w:type="dxa" w:w="80"/>
              <w:bottom w:type="dxa" w:w="60"/>
              <w:right w:type="dxa" w:w="80"/>
            </w:tcMar>
          </w:tcPr>
          <w:p>
            <w:r>
              <w:rPr>
                <w:sz w:val="19"/>
                <w:szCs w:val="19"/>
              </w:rPr>
              <w:t xml:space="preserve">Main Contractor</w:t>
            </w:r>
          </w:p>
        </w:tc>
        <w:tc>
          <w:tcPr>
            <w:tcW w:type="dxa" w:w="6000"/>
            <w:shd w:fill="DCE6F1" w:val="clear"/>
            <w:tcMar>
              <w:top w:type="dxa" w:w="60"/>
              <w:left w:type="dxa" w:w="80"/>
              <w:bottom w:type="dxa" w:w="60"/>
              <w:right w:type="dxa" w:w="80"/>
            </w:tcMar>
          </w:tcPr>
          <w:p>
            <w:r>
              <w:rPr>
                <w:sz w:val="19"/>
                <w:szCs w:val="19"/>
              </w:rPr>
              <w:t xml:space="preserve">—</w:t>
            </w:r>
          </w:p>
        </w:tc>
      </w:tr>
      <w:tr>
        <w:tc>
          <w:tcPr>
            <w:tcW w:type="dxa" w:w="3000"/>
            <w:shd w:fill="FFFFFF" w:val="clear"/>
            <w:tcMar>
              <w:top w:type="dxa" w:w="60"/>
              <w:left w:type="dxa" w:w="80"/>
              <w:bottom w:type="dxa" w:w="60"/>
              <w:right w:type="dxa" w:w="80"/>
            </w:tcMar>
          </w:tcPr>
          <w:p>
            <w:r>
              <w:rPr>
                <w:sz w:val="19"/>
                <w:szCs w:val="19"/>
              </w:rPr>
              <w:t xml:space="preserve">Scope of Work</w:t>
            </w:r>
          </w:p>
        </w:tc>
        <w:tc>
          <w:tcPr>
            <w:tcW w:type="dxa" w:w="6000"/>
            <w:shd w:fill="FFFFFF" w:val="clear"/>
            <w:tcMar>
              <w:top w:type="dxa" w:w="60"/>
              <w:left w:type="dxa" w:w="80"/>
              <w:bottom w:type="dxa" w:w="60"/>
              <w:right w:type="dxa" w:w="80"/>
            </w:tcMar>
          </w:tcPr>
          <w:p>
            <w:r>
              <w:rPr>
                <w:sz w:val="19"/>
                <w:szCs w:val="19"/>
              </w:rPr>
              <w:t xml:space="preserve">Free text</w:t>
            </w:r>
          </w:p>
        </w:tc>
      </w:tr>
      <w:tr>
        <w:tc>
          <w:tcPr>
            <w:tcW w:type="dxa" w:w="3000"/>
            <w:shd w:fill="DCE6F1" w:val="clear"/>
            <w:tcMar>
              <w:top w:type="dxa" w:w="60"/>
              <w:left w:type="dxa" w:w="80"/>
              <w:bottom w:type="dxa" w:w="60"/>
              <w:right w:type="dxa" w:w="80"/>
            </w:tcMar>
          </w:tcPr>
          <w:p>
            <w:r>
              <w:rPr>
                <w:sz w:val="19"/>
                <w:szCs w:val="19"/>
              </w:rPr>
              <w:t xml:space="preserve">Contract Value</w:t>
            </w:r>
          </w:p>
        </w:tc>
        <w:tc>
          <w:tcPr>
            <w:tcW w:type="dxa" w:w="6000"/>
            <w:shd w:fill="DCE6F1" w:val="clear"/>
            <w:tcMar>
              <w:top w:type="dxa" w:w="60"/>
              <w:left w:type="dxa" w:w="80"/>
              <w:bottom w:type="dxa" w:w="60"/>
              <w:right w:type="dxa" w:w="80"/>
            </w:tcMar>
          </w:tcPr>
          <w:p>
            <w:r>
              <w:rPr>
                <w:sz w:val="19"/>
                <w:szCs w:val="19"/>
              </w:rPr>
              <w:t xml:space="preserve">Currency amount</w:t>
            </w:r>
          </w:p>
        </w:tc>
      </w:tr>
      <w:tr>
        <w:tc>
          <w:tcPr>
            <w:tcW w:type="dxa" w:w="3000"/>
            <w:shd w:fill="FFFFFF" w:val="clear"/>
            <w:tcMar>
              <w:top w:type="dxa" w:w="60"/>
              <w:left w:type="dxa" w:w="80"/>
              <w:bottom w:type="dxa" w:w="60"/>
              <w:right w:type="dxa" w:w="80"/>
            </w:tcMar>
          </w:tcPr>
          <w:p>
            <w:r>
              <w:rPr>
                <w:sz w:val="19"/>
                <w:szCs w:val="19"/>
              </w:rPr>
              <w:t xml:space="preserve">Estimated Costs</w:t>
            </w:r>
          </w:p>
        </w:tc>
        <w:tc>
          <w:tcPr>
            <w:tcW w:type="dxa" w:w="6000"/>
            <w:shd w:fill="FFFFFF" w:val="clear"/>
            <w:tcMar>
              <w:top w:type="dxa" w:w="60"/>
              <w:left w:type="dxa" w:w="80"/>
              <w:bottom w:type="dxa" w:w="60"/>
              <w:right w:type="dxa" w:w="80"/>
            </w:tcMar>
          </w:tcPr>
          <w:p>
            <w:r>
              <w:rPr>
                <w:sz w:val="19"/>
                <w:szCs w:val="19"/>
              </w:rPr>
              <w:t xml:space="preserve">Currency amount</w:t>
            </w:r>
          </w:p>
        </w:tc>
      </w:tr>
      <w:tr>
        <w:tc>
          <w:tcPr>
            <w:tcW w:type="dxa" w:w="3000"/>
            <w:shd w:fill="DCE6F1" w:val="clear"/>
            <w:tcMar>
              <w:top w:type="dxa" w:w="60"/>
              <w:left w:type="dxa" w:w="80"/>
              <w:bottom w:type="dxa" w:w="60"/>
              <w:right w:type="dxa" w:w="80"/>
            </w:tcMar>
          </w:tcPr>
          <w:p>
            <w:r>
              <w:rPr>
                <w:sz w:val="19"/>
                <w:szCs w:val="19"/>
              </w:rPr>
              <w:t xml:space="preserve">Estimated Profit Margin</w:t>
            </w:r>
          </w:p>
        </w:tc>
        <w:tc>
          <w:tcPr>
            <w:tcW w:type="dxa" w:w="6000"/>
            <w:shd w:fill="DCE6F1" w:val="clear"/>
            <w:tcMar>
              <w:top w:type="dxa" w:w="60"/>
              <w:left w:type="dxa" w:w="80"/>
              <w:bottom w:type="dxa" w:w="60"/>
              <w:right w:type="dxa" w:w="80"/>
            </w:tcMar>
          </w:tcPr>
          <w:p>
            <w:r>
              <w:rPr>
                <w:sz w:val="19"/>
                <w:szCs w:val="19"/>
              </w:rPr>
              <w:t xml:space="preserve">Percentage or amount</w:t>
            </w:r>
          </w:p>
        </w:tc>
      </w:tr>
      <w:tr>
        <w:tc>
          <w:tcPr>
            <w:tcW w:type="dxa" w:w="3000"/>
            <w:shd w:fill="FFFFFF" w:val="clear"/>
            <w:tcMar>
              <w:top w:type="dxa" w:w="60"/>
              <w:left w:type="dxa" w:w="80"/>
              <w:bottom w:type="dxa" w:w="60"/>
              <w:right w:type="dxa" w:w="80"/>
            </w:tcMar>
          </w:tcPr>
          <w:p>
            <w:r>
              <w:rPr>
                <w:sz w:val="19"/>
                <w:szCs w:val="19"/>
              </w:rPr>
              <w:t xml:space="preserve">Contract Duration</w:t>
            </w:r>
          </w:p>
        </w:tc>
        <w:tc>
          <w:tcPr>
            <w:tcW w:type="dxa" w:w="6000"/>
            <w:shd w:fill="FFFFFF" w:val="clear"/>
            <w:tcMar>
              <w:top w:type="dxa" w:w="60"/>
              <w:left w:type="dxa" w:w="80"/>
              <w:bottom w:type="dxa" w:w="60"/>
              <w:right w:type="dxa" w:w="80"/>
            </w:tcMar>
          </w:tcPr>
          <w:p>
            <w:r>
              <w:rPr>
                <w:sz w:val="19"/>
                <w:szCs w:val="19"/>
              </w:rPr>
              <w:t xml:space="preserve">—</w:t>
            </w:r>
          </w:p>
        </w:tc>
      </w:tr>
      <w:tr>
        <w:tc>
          <w:tcPr>
            <w:tcW w:type="dxa" w:w="3000"/>
            <w:shd w:fill="DCE6F1" w:val="clear"/>
            <w:tcMar>
              <w:top w:type="dxa" w:w="60"/>
              <w:left w:type="dxa" w:w="80"/>
              <w:bottom w:type="dxa" w:w="60"/>
              <w:right w:type="dxa" w:w="80"/>
            </w:tcMar>
          </w:tcPr>
          <w:p>
            <w:r>
              <w:rPr>
                <w:sz w:val="19"/>
                <w:szCs w:val="19"/>
              </w:rPr>
              <w:t xml:space="preserve">Certificates &amp; Payments</w:t>
            </w:r>
          </w:p>
        </w:tc>
        <w:tc>
          <w:tcPr>
            <w:tcW w:type="dxa" w:w="6000"/>
            <w:shd w:fill="DCE6F1" w:val="clear"/>
            <w:tcMar>
              <w:top w:type="dxa" w:w="60"/>
              <w:left w:type="dxa" w:w="80"/>
              <w:bottom w:type="dxa" w:w="60"/>
              <w:right w:type="dxa" w:w="80"/>
            </w:tcMar>
          </w:tcPr>
          <w:p>
            <w:r>
              <w:rPr>
                <w:sz w:val="19"/>
                <w:szCs w:val="19"/>
              </w:rPr>
              <w:t xml:space="preserve">Progress billing status</w:t>
            </w:r>
          </w:p>
        </w:tc>
      </w:tr>
      <w:tr>
        <w:tc>
          <w:tcPr>
            <w:tcW w:type="dxa" w:w="3000"/>
            <w:shd w:fill="FFFFFF" w:val="clear"/>
            <w:tcMar>
              <w:top w:type="dxa" w:w="60"/>
              <w:left w:type="dxa" w:w="80"/>
              <w:bottom w:type="dxa" w:w="60"/>
              <w:right w:type="dxa" w:w="80"/>
            </w:tcMar>
          </w:tcPr>
          <w:p>
            <w:r>
              <w:rPr>
                <w:sz w:val="19"/>
                <w:szCs w:val="19"/>
              </w:rPr>
              <w:t xml:space="preserve">Status Comments</w:t>
            </w:r>
          </w:p>
        </w:tc>
        <w:tc>
          <w:tcPr>
            <w:tcW w:type="dxa" w:w="6000"/>
            <w:shd w:fill="FFFFFF" w:val="clear"/>
            <w:tcMar>
              <w:top w:type="dxa" w:w="60"/>
              <w:left w:type="dxa" w:w="80"/>
              <w:bottom w:type="dxa" w:w="60"/>
              <w:right w:type="dxa" w:w="80"/>
            </w:tcMar>
          </w:tcPr>
          <w:p>
            <w:r>
              <w:rPr>
                <w:sz w:val="19"/>
                <w:szCs w:val="19"/>
              </w:rPr>
              <w:t xml:space="preserve">Free text</w:t>
            </w:r>
          </w:p>
        </w:tc>
      </w:tr>
    </w:tbl>
    <w:p>
      <w:pPr>
        <w:spacing w:after="160"/>
      </w:pPr>
      <w:r>
        <w:rPr>
          <w:sz w:val="21"/>
          <w:szCs w:val="21"/>
        </w:rPr>
        <w:t xml:space="preserve">Capabilities: supports multiple project records per borrower (add/remove freely); each project record has its own comment box; a record can be hidden from the printed/exported output if marked not applicable, and empty project records are excluded from output automatically.</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Creditum — Generic Corporate Lending SDD — Working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2026-10-22T13:27:25.731Z</dcterms:created>
  <dcterms:modified xsi:type="dcterms:W3CDTF">2026-10-22T13:27:25.738Z</dcterms:modified>
</cp:coreProperties>
</file>

<file path=docProps/custom.xml><?xml version="1.0" encoding="utf-8"?>
<Properties xmlns="http://schemas.openxmlformats.org/officeDocument/2006/custom-properties" xmlns:vt="http://schemas.openxmlformats.org/officeDocument/2006/docPropsVTypes"/>
</file>