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B8" w:rsidRDefault="000653B8" w:rsidP="000653B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Cannabin</w:t>
      </w:r>
      <w:r>
        <w:rPr>
          <w:rFonts w:ascii="CMBX12" w:hAnsi="CMBX12" w:cs="CMBX12"/>
          <w:sz w:val="29"/>
          <w:szCs w:val="29"/>
        </w:rPr>
        <w:t xml:space="preserve">oids Disrupt Memory Encoding by </w:t>
      </w:r>
      <w:r>
        <w:rPr>
          <w:rFonts w:ascii="CMBX12" w:hAnsi="CMBX12" w:cs="CMBX12"/>
          <w:sz w:val="29"/>
          <w:szCs w:val="29"/>
        </w:rPr>
        <w:t>Functionally Isolating Hippocampal CA1 from CA3</w:t>
      </w:r>
    </w:p>
    <w:p w:rsidR="000653B8" w:rsidRDefault="000653B8" w:rsidP="000653B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0653B8" w:rsidRDefault="000653B8" w:rsidP="000653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S8" w:hAnsi="CMSS8" w:cs="CMSS8"/>
          <w:sz w:val="12"/>
          <w:szCs w:val="12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Roman A. Sandler 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 xml:space="preserve">, Dustin </w:t>
      </w:r>
      <w:proofErr w:type="spellStart"/>
      <w:r>
        <w:rPr>
          <w:rFonts w:ascii="CMR12" w:hAnsi="CMR12" w:cs="CMR12"/>
          <w:sz w:val="24"/>
          <w:szCs w:val="24"/>
        </w:rPr>
        <w:t>Fetterho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2" w:hAnsi="CMR12" w:cs="CMR12"/>
          <w:sz w:val="24"/>
          <w:szCs w:val="24"/>
        </w:rPr>
        <w:t xml:space="preserve">, Robert E. Hampson 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2" w:hAnsi="CMR12" w:cs="CMR12"/>
          <w:sz w:val="24"/>
          <w:szCs w:val="24"/>
        </w:rPr>
        <w:t>, Sam A.</w:t>
      </w:r>
    </w:p>
    <w:p w:rsidR="000653B8" w:rsidRDefault="000653B8" w:rsidP="000653B8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proofErr w:type="spellStart"/>
      <w:r>
        <w:rPr>
          <w:rFonts w:ascii="CMR12" w:hAnsi="CMR12" w:cs="CMR12"/>
          <w:sz w:val="24"/>
          <w:szCs w:val="24"/>
        </w:rPr>
        <w:t>Deadwyler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2" w:hAnsi="CMR12" w:cs="CMR12"/>
          <w:sz w:val="24"/>
          <w:szCs w:val="24"/>
        </w:rPr>
        <w:t>&amp; Vasilis Z. Marmarelis</w:t>
      </w:r>
      <w:r>
        <w:rPr>
          <w:rFonts w:ascii="CMR8" w:hAnsi="CMR8" w:cs="CMR8"/>
          <w:sz w:val="16"/>
          <w:szCs w:val="16"/>
        </w:rPr>
        <w:t>1</w:t>
      </w:r>
    </w:p>
    <w:p w:rsidR="000653B8" w:rsidRPr="000653B8" w:rsidRDefault="000653B8" w:rsidP="000653B8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</w:p>
    <w:p w:rsidR="000653B8" w:rsidRPr="000653B8" w:rsidRDefault="000653B8" w:rsidP="000653B8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sz w:val="12"/>
          <w:szCs w:val="12"/>
        </w:rPr>
      </w:pPr>
      <w:r>
        <w:rPr>
          <w:rFonts w:ascii="CMR8" w:hAnsi="CMR8" w:cs="CMR8"/>
          <w:sz w:val="16"/>
          <w:szCs w:val="16"/>
        </w:rPr>
        <w:t>1</w:t>
      </w:r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>Department of Biomedical Engi</w:t>
      </w:r>
      <w:r>
        <w:rPr>
          <w:rFonts w:ascii="CMR12" w:hAnsi="CMR12" w:cs="CMR12"/>
          <w:sz w:val="24"/>
          <w:szCs w:val="24"/>
        </w:rPr>
        <w:t xml:space="preserve">neering, University of Southern </w:t>
      </w:r>
      <w:r>
        <w:rPr>
          <w:rFonts w:ascii="CMR12" w:hAnsi="CMR12" w:cs="CMR12"/>
          <w:sz w:val="24"/>
          <w:szCs w:val="24"/>
        </w:rPr>
        <w:t>California, Los Angeles, CA, USA</w:t>
      </w:r>
    </w:p>
    <w:p w:rsidR="000653B8" w:rsidRDefault="000653B8" w:rsidP="000653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8" w:hAnsi="CMR8" w:cs="CMR8"/>
          <w:sz w:val="16"/>
          <w:szCs w:val="16"/>
        </w:rPr>
        <w:t>2</w:t>
      </w:r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Department of </w:t>
      </w:r>
      <w:bookmarkStart w:id="0" w:name="OLE_LINK1"/>
      <w:bookmarkStart w:id="1" w:name="OLE_LINK2"/>
      <w:r>
        <w:rPr>
          <w:rFonts w:ascii="CMR12" w:hAnsi="CMR12" w:cs="CMR12"/>
          <w:sz w:val="24"/>
          <w:szCs w:val="24"/>
        </w:rPr>
        <w:t xml:space="preserve">Physiology </w:t>
      </w:r>
      <w:bookmarkEnd w:id="0"/>
      <w:bookmarkEnd w:id="1"/>
      <w:r>
        <w:rPr>
          <w:rFonts w:ascii="CMR12" w:hAnsi="CMR12" w:cs="CMR12"/>
          <w:sz w:val="24"/>
          <w:szCs w:val="24"/>
        </w:rPr>
        <w:t>&amp; Pharma</w:t>
      </w:r>
      <w:r>
        <w:rPr>
          <w:rFonts w:ascii="CMR12" w:hAnsi="CMR12" w:cs="CMR12"/>
          <w:sz w:val="24"/>
          <w:szCs w:val="24"/>
        </w:rPr>
        <w:t xml:space="preserve">cology, Wake Forest University, </w:t>
      </w:r>
      <w:r>
        <w:rPr>
          <w:rFonts w:ascii="CMR12" w:hAnsi="CMR12" w:cs="CMR12"/>
          <w:sz w:val="24"/>
          <w:szCs w:val="24"/>
        </w:rPr>
        <w:t>Winston-Salem, NC, USA</w:t>
      </w:r>
    </w:p>
    <w:p w:rsidR="000653B8" w:rsidRDefault="000653B8" w:rsidP="000653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653B8" w:rsidRDefault="000653B8" w:rsidP="000653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653B8">
        <w:rPr>
          <w:rFonts w:ascii="CMR12" w:hAnsi="CMR12" w:cs="CMR12"/>
          <w:sz w:val="24"/>
          <w:szCs w:val="24"/>
        </w:rPr>
        <w:t>Research into cannabinoids (CBs) over the last several decades has found that they induce a large variety of oftentimes opposing effects on various ne</w:t>
      </w:r>
      <w:r>
        <w:rPr>
          <w:rFonts w:ascii="CMR12" w:hAnsi="CMR12" w:cs="CMR12"/>
          <w:sz w:val="24"/>
          <w:szCs w:val="24"/>
        </w:rPr>
        <w:t xml:space="preserve">uronal receptors and processes. </w:t>
      </w:r>
      <w:r w:rsidRPr="000653B8">
        <w:rPr>
          <w:rFonts w:ascii="CMR12" w:hAnsi="CMR12" w:cs="CMR12"/>
          <w:sz w:val="24"/>
          <w:szCs w:val="24"/>
        </w:rPr>
        <w:t>Due to this plethora of effects, disentangling how CBs influence neuronal c</w:t>
      </w:r>
      <w:r>
        <w:rPr>
          <w:rFonts w:ascii="CMR12" w:hAnsi="CMR12" w:cs="CMR12"/>
          <w:sz w:val="24"/>
          <w:szCs w:val="24"/>
        </w:rPr>
        <w:t xml:space="preserve">ircuits has proven challenging. </w:t>
      </w:r>
      <w:r w:rsidRPr="000653B8">
        <w:rPr>
          <w:rFonts w:ascii="CMR12" w:hAnsi="CMR12" w:cs="CMR12"/>
          <w:sz w:val="24"/>
          <w:szCs w:val="24"/>
        </w:rPr>
        <w:t>This paper contributes to this by using data driven modeling to examine how THC affects the input-output relationship in the Schaffer collate</w:t>
      </w:r>
      <w:r>
        <w:rPr>
          <w:rFonts w:ascii="CMR12" w:hAnsi="CMR12" w:cs="CMR12"/>
          <w:sz w:val="24"/>
          <w:szCs w:val="24"/>
        </w:rPr>
        <w:t xml:space="preserve">ral synapse in the hippocampus. </w:t>
      </w:r>
      <w:r w:rsidRPr="000653B8">
        <w:rPr>
          <w:rFonts w:ascii="CMR12" w:hAnsi="CMR12" w:cs="CMR12"/>
          <w:sz w:val="24"/>
          <w:szCs w:val="24"/>
        </w:rPr>
        <w:t xml:space="preserve">It was found that THC functionally isolated CA1 from CA3 by reducing feedforward excitation and theta information flow while simultaneously increasing </w:t>
      </w:r>
      <w:r>
        <w:rPr>
          <w:rFonts w:ascii="CMR12" w:hAnsi="CMR12" w:cs="CMR12"/>
          <w:sz w:val="24"/>
          <w:szCs w:val="24"/>
        </w:rPr>
        <w:t xml:space="preserve">feedback excitation within CA1. </w:t>
      </w:r>
      <w:r w:rsidRPr="000653B8">
        <w:rPr>
          <w:rFonts w:ascii="CMR12" w:hAnsi="CMR12" w:cs="CMR12"/>
          <w:sz w:val="24"/>
          <w:szCs w:val="24"/>
        </w:rPr>
        <w:t>By elucidating the circuit mechanisms of CBs, these results help close the gap in knowledge between the cellular and behavioral effects of CBs.</w:t>
      </w:r>
    </w:p>
    <w:p w:rsidR="000653B8" w:rsidRDefault="000653B8" w:rsidP="000653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653B8" w:rsidRPr="000653B8" w:rsidRDefault="000653B8" w:rsidP="000653B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use of sophisticated computational and system identification techniques to interpret complex biological datasets makes this paper ideally suited for PLOS Computational Biology</w:t>
      </w:r>
      <w:r>
        <w:rPr>
          <w:rFonts w:ascii="CMR12" w:hAnsi="CMR12" w:cs="CMR12"/>
          <w:sz w:val="24"/>
          <w:szCs w:val="24"/>
        </w:rPr>
        <w:t xml:space="preserve">. Furthermore, a central theme in the paper is that such techniques can offer neuroscientists greater insight than more conventional techniques. We make an effort to directly compare these techniques in the paper. </w:t>
      </w:r>
      <w:bookmarkStart w:id="2" w:name="_GoBack"/>
      <w:bookmarkEnd w:id="2"/>
      <w:r>
        <w:rPr>
          <w:rFonts w:ascii="CMR12" w:hAnsi="CMR12" w:cs="CMR12"/>
          <w:sz w:val="24"/>
          <w:szCs w:val="24"/>
        </w:rPr>
        <w:t xml:space="preserve"> </w:t>
      </w:r>
    </w:p>
    <w:sectPr w:rsidR="000653B8" w:rsidRPr="0006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C8"/>
    <w:rsid w:val="000653B8"/>
    <w:rsid w:val="00273AD7"/>
    <w:rsid w:val="002A43E7"/>
    <w:rsid w:val="00F9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0085D-CAC2-4433-9D55-0B352A20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Roman2</dc:creator>
  <cp:keywords/>
  <dc:description/>
  <cp:lastModifiedBy>Roman2</cp:lastModifiedBy>
  <cp:revision>2</cp:revision>
  <dcterms:created xsi:type="dcterms:W3CDTF">2016-12-12T22:29:00Z</dcterms:created>
  <dcterms:modified xsi:type="dcterms:W3CDTF">2016-12-12T22:36:00Z</dcterms:modified>
</cp:coreProperties>
</file>