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200" w:before="0"/>
        <w:jc w:val="left"/>
      </w:pPr>
      <w:r>
        <w:rPr>
          <w:rFonts w:ascii="Arial" w:cs="Arial" w:eastAsia="Arial" w:hAnsi="Arial"/>
          <w:b/>
          <w:bCs/>
          <w:color w:val="6BA084"/>
          <w:sz w:val="26"/>
          <w:szCs w:val="26"/>
        </w:rPr>
        <w:t xml:space="preserve">PSICOPLAY</w:t>
      </w:r>
    </w:p>
    <w:p>
      <w:pPr>
        <w:spacing w:after="80" w:before="0"/>
        <w:jc w:val="left"/>
      </w:pPr>
      <w:r>
        <w:rPr>
          <w:rFonts w:ascii="Arial" w:cs="Arial" w:eastAsia="Arial" w:hAnsi="Arial"/>
          <w:b/>
          <w:bCs/>
          <w:color w:val="1B5E63"/>
          <w:sz w:val="56"/>
          <w:szCs w:val="56"/>
        </w:rPr>
        <w:t xml:space="preserve">Especificação da plataforma</w:t>
      </w:r>
    </w:p>
    <w:p>
      <w:pPr>
        <w:spacing w:after="600" w:before="0"/>
        <w:jc w:val="left"/>
      </w:pPr>
      <w:r>
        <w:rPr>
          <w:rFonts w:ascii="Arial" w:cs="Arial" w:eastAsia="Arial" w:hAnsi="Arial"/>
          <w:color w:val="20242A"/>
          <w:sz w:val="28"/>
          <w:szCs w:val="28"/>
        </w:rPr>
        <w:t xml:space="preserve">Sistema operacional clínico para intervenção precoce e desenvolvimento infantojuvenil em ABA e no Modelo Denver</w:t>
      </w:r>
    </w:p>
    <w:p>
      <w:pPr>
        <w:pBdr>
          <w:bottom w:val="single" w:color="1B5E63" w:sz="12" w:space="1"/>
        </w:pBdr>
        <w:spacing w:after="400"/>
      </w:pPr>
    </w:p>
    <w:p>
      <w:pPr>
        <w:spacing w:after="1400" w:before="0"/>
        <w:jc w:val="left"/>
      </w:pPr>
      <w:r>
        <w:rPr>
          <w:rFonts w:ascii="Arial" w:cs="Arial" w:eastAsia="Arial" w:hAnsi="Arial"/>
          <w:color w:val="667085"/>
          <w:sz w:val="20"/>
          <w:szCs w:val="20"/>
        </w:rPr>
        <w:t xml:space="preserve">Fundamentação teórica e científica · Conformidade legal e ética · Módulos e lógica clínica · Modelo de dados e motor de cruzamento · Jogos e recursos · Página inicial, acesso e telas · Design system · Arquitetura e roteiro de construção</w:t>
      </w:r>
    </w:p>
    <w:p>
      <w:pPr>
        <w:spacing w:after="60" w:before="0"/>
        <w:jc w:val="left"/>
      </w:pPr>
      <w:r>
        <w:rPr>
          <w:rFonts w:ascii="Arial" w:cs="Arial" w:eastAsia="Arial" w:hAnsi="Arial"/>
          <w:b/>
          <w:bCs/>
          <w:color w:val="20242A"/>
          <w:sz w:val="20"/>
          <w:szCs w:val="20"/>
        </w:rPr>
        <w:t xml:space="preserve">Documento-base para construção da plataforma do zero</w:t>
      </w:r>
    </w:p>
    <w:p>
      <w:pPr>
        <w:spacing w:after="60" w:before="0"/>
        <w:jc w:val="left"/>
      </w:pPr>
      <w:r>
        <w:rPr>
          <w:rFonts w:ascii="Arial" w:cs="Arial" w:eastAsia="Arial" w:hAnsi="Arial"/>
          <w:color w:val="20242A"/>
          <w:sz w:val="20"/>
          <w:szCs w:val="20"/>
        </w:rPr>
        <w:t xml:space="preserve">Versão 1.0 · outubro de 2026</w:t>
      </w:r>
    </w:p>
    <w:p>
      <w:pPr>
        <w:spacing w:after="60" w:before="0"/>
        <w:jc w:val="left"/>
      </w:pPr>
      <w:r>
        <w:rPr>
          <w:rFonts w:ascii="Arial" w:cs="Arial" w:eastAsia="Arial" w:hAnsi="Arial"/>
          <w:color w:val="667085"/>
          <w:sz w:val="20"/>
          <w:szCs w:val="20"/>
        </w:rPr>
        <w:t xml:space="preserve">Bases de referência analisadas: PsicoPlayKids e Terapia-Arcade</w:t>
      </w:r>
    </w:p>
    <w:p>
      <w:r>
        <w:br w:type="page"/>
      </w:r>
    </w:p>
    <w:p>
      <w:pPr>
        <w:sectPr>
          <w:pgSz w:w="11906" w:h="16838" w:orient="portrait"/>
          <w:pgMar w:top="1134" w:right="1134" w:bottom="1134" w:left="1134" w:header="708" w:footer="708" w:gutter="0"/>
          <w:pgNumType/>
          <w:docGrid w:linePitch="360"/>
        </w:sectPr>
      </w:pPr>
    </w:p>
    <w:p>
      <w:pPr>
        <w:spacing w:after="200"/>
      </w:pPr>
      <w:r>
        <w:rPr>
          <w:b/>
          <w:bCs/>
          <w:color w:val="1B5E63"/>
          <w:sz w:val="28"/>
          <w:szCs w:val="28"/>
        </w:rPr>
        <w:t xml:space="preserve">Controle do documento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75"/>
        <w:gridCol w:w="7863"/>
      </w:tblGrid>
      <w:tr>
        <w:trPr>
          <w:cantSplit/>
        </w:trPr>
        <w:tc>
          <w:tcPr>
            <w:tcW w:type="dxa" w:w="1775"/>
            <w:tcBorders>
              <w:top w:val="single" w:color="D0D5DD" w:sz="4"/>
              <w:left w:val="single" w:color="D0D5DD" w:sz="4"/>
              <w:bottom w:val="single" w:color="D0D5DD" w:sz="4"/>
              <w:right w:val="single" w:color="D0D5DD" w:sz="4"/>
            </w:tcBorders>
            <w:shd w:fill="E0F2F1" w:color="auto" w:val="clear"/>
            <w:tcMar>
              <w:top w:type="dxa" w:w="70"/>
              <w:left w:type="dxa" w:w="110"/>
              <w:bottom w:type="dxa" w:w="70"/>
              <w:right w:type="dxa" w:w="110"/>
            </w:tcMar>
            <w:vAlign w:val="top"/>
          </w:tcPr>
          <w:p>
            <w:pPr>
              <w:spacing w:after="40" w:line="260"/>
            </w:pPr>
            <w:r>
              <w:rPr>
                <w:b/>
                <w:bCs/>
                <w:sz w:val="18"/>
                <w:szCs w:val="18"/>
              </w:rPr>
              <w:t xml:space="preserve">Título</w:t>
            </w:r>
          </w:p>
        </w:tc>
        <w:tc>
          <w:tcPr>
            <w:tcW w:type="dxa" w:w="786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PsicoPlay: especificação da plataforma</w:t>
            </w:r>
          </w:p>
        </w:tc>
      </w:tr>
      <w:tr>
        <w:trPr>
          <w:cantSplit/>
        </w:trPr>
        <w:tc>
          <w:tcPr>
            <w:tcW w:type="dxa" w:w="1775"/>
            <w:tcBorders>
              <w:top w:val="single" w:color="D0D5DD" w:sz="4"/>
              <w:left w:val="single" w:color="D0D5DD" w:sz="4"/>
              <w:bottom w:val="single" w:color="D0D5DD" w:sz="4"/>
              <w:right w:val="single" w:color="D0D5DD" w:sz="4"/>
            </w:tcBorders>
            <w:shd w:fill="E0F2F1" w:color="auto" w:val="clear"/>
            <w:tcMar>
              <w:top w:type="dxa" w:w="70"/>
              <w:left w:type="dxa" w:w="110"/>
              <w:bottom w:type="dxa" w:w="70"/>
              <w:right w:type="dxa" w:w="110"/>
            </w:tcMar>
            <w:vAlign w:val="top"/>
          </w:tcPr>
          <w:p>
            <w:pPr>
              <w:spacing w:after="40" w:line="260"/>
            </w:pPr>
            <w:r>
              <w:rPr>
                <w:b/>
                <w:bCs/>
                <w:sz w:val="18"/>
                <w:szCs w:val="18"/>
              </w:rPr>
              <w:t xml:space="preserve">Natureza</w:t>
            </w:r>
          </w:p>
        </w:tc>
        <w:tc>
          <w:tcPr>
            <w:tcW w:type="dxa" w:w="7863"/>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Documento-base de produto, clínico e técnico para construção da plataforma do zero</w:t>
            </w:r>
          </w:p>
        </w:tc>
      </w:tr>
      <w:tr>
        <w:trPr>
          <w:cantSplit/>
        </w:trPr>
        <w:tc>
          <w:tcPr>
            <w:tcW w:type="dxa" w:w="1775"/>
            <w:tcBorders>
              <w:top w:val="single" w:color="D0D5DD" w:sz="4"/>
              <w:left w:val="single" w:color="D0D5DD" w:sz="4"/>
              <w:bottom w:val="single" w:color="D0D5DD" w:sz="4"/>
              <w:right w:val="single" w:color="D0D5DD" w:sz="4"/>
            </w:tcBorders>
            <w:shd w:fill="E0F2F1" w:color="auto" w:val="clear"/>
            <w:tcMar>
              <w:top w:type="dxa" w:w="70"/>
              <w:left w:type="dxa" w:w="110"/>
              <w:bottom w:type="dxa" w:w="70"/>
              <w:right w:type="dxa" w:w="110"/>
            </w:tcMar>
            <w:vAlign w:val="top"/>
          </w:tcPr>
          <w:p>
            <w:pPr>
              <w:spacing w:after="40" w:line="260"/>
            </w:pPr>
            <w:r>
              <w:rPr>
                <w:b/>
                <w:bCs/>
                <w:sz w:val="18"/>
                <w:szCs w:val="18"/>
              </w:rPr>
              <w:t xml:space="preserve">Versão</w:t>
            </w:r>
          </w:p>
        </w:tc>
        <w:tc>
          <w:tcPr>
            <w:tcW w:type="dxa" w:w="786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1.0 (outubro de 2026)</w:t>
            </w:r>
          </w:p>
        </w:tc>
      </w:tr>
      <w:tr>
        <w:trPr>
          <w:cantSplit/>
        </w:trPr>
        <w:tc>
          <w:tcPr>
            <w:tcW w:type="dxa" w:w="1775"/>
            <w:tcBorders>
              <w:top w:val="single" w:color="D0D5DD" w:sz="4"/>
              <w:left w:val="single" w:color="D0D5DD" w:sz="4"/>
              <w:bottom w:val="single" w:color="D0D5DD" w:sz="4"/>
              <w:right w:val="single" w:color="D0D5DD" w:sz="4"/>
            </w:tcBorders>
            <w:shd w:fill="E0F2F1" w:color="auto" w:val="clear"/>
            <w:tcMar>
              <w:top w:type="dxa" w:w="70"/>
              <w:left w:type="dxa" w:w="110"/>
              <w:bottom w:type="dxa" w:w="70"/>
              <w:right w:type="dxa" w:w="110"/>
            </w:tcMar>
            <w:vAlign w:val="top"/>
          </w:tcPr>
          <w:p>
            <w:pPr>
              <w:spacing w:after="40" w:line="260"/>
            </w:pPr>
            <w:r>
              <w:rPr>
                <w:b/>
                <w:bCs/>
                <w:sz w:val="18"/>
                <w:szCs w:val="18"/>
              </w:rPr>
              <w:t xml:space="preserve">Situação</w:t>
            </w:r>
          </w:p>
        </w:tc>
        <w:tc>
          <w:tcPr>
            <w:tcW w:type="dxa" w:w="7863"/>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Para revisão e validação pela coordenação clínica e técnica</w:t>
            </w:r>
          </w:p>
        </w:tc>
      </w:tr>
      <w:tr>
        <w:trPr>
          <w:cantSplit/>
        </w:trPr>
        <w:tc>
          <w:tcPr>
            <w:tcW w:type="dxa" w:w="1775"/>
            <w:tcBorders>
              <w:top w:val="single" w:color="D0D5DD" w:sz="4"/>
              <w:left w:val="single" w:color="D0D5DD" w:sz="4"/>
              <w:bottom w:val="single" w:color="D0D5DD" w:sz="4"/>
              <w:right w:val="single" w:color="D0D5DD" w:sz="4"/>
            </w:tcBorders>
            <w:shd w:fill="E0F2F1" w:color="auto" w:val="clear"/>
            <w:tcMar>
              <w:top w:type="dxa" w:w="70"/>
              <w:left w:type="dxa" w:w="110"/>
              <w:bottom w:type="dxa" w:w="70"/>
              <w:right w:type="dxa" w:w="110"/>
            </w:tcMar>
            <w:vAlign w:val="top"/>
          </w:tcPr>
          <w:p>
            <w:pPr>
              <w:spacing w:after="40" w:line="260"/>
            </w:pPr>
            <w:r>
              <w:rPr>
                <w:b/>
                <w:bCs/>
                <w:sz w:val="18"/>
                <w:szCs w:val="18"/>
              </w:rPr>
              <w:t xml:space="preserve">Escopo</w:t>
            </w:r>
          </w:p>
        </w:tc>
        <w:tc>
          <w:tcPr>
            <w:tcW w:type="dxa" w:w="786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Plataforma completa: profissionais (supervisão e aplicação), famílias, crianças e adolescentes, administração</w:t>
            </w:r>
          </w:p>
        </w:tc>
      </w:tr>
      <w:tr>
        <w:trPr>
          <w:cantSplit/>
        </w:trPr>
        <w:tc>
          <w:tcPr>
            <w:tcW w:type="dxa" w:w="1775"/>
            <w:tcBorders>
              <w:top w:val="single" w:color="D0D5DD" w:sz="4"/>
              <w:left w:val="single" w:color="D0D5DD" w:sz="4"/>
              <w:bottom w:val="single" w:color="D0D5DD" w:sz="4"/>
              <w:right w:val="single" w:color="D0D5DD" w:sz="4"/>
            </w:tcBorders>
            <w:shd w:fill="E0F2F1" w:color="auto" w:val="clear"/>
            <w:tcMar>
              <w:top w:type="dxa" w:w="70"/>
              <w:left w:type="dxa" w:w="110"/>
              <w:bottom w:type="dxa" w:w="70"/>
              <w:right w:type="dxa" w:w="110"/>
            </w:tcMar>
            <w:vAlign w:val="top"/>
          </w:tcPr>
          <w:p>
            <w:pPr>
              <w:spacing w:after="40" w:line="260"/>
            </w:pPr>
            <w:r>
              <w:rPr>
                <w:b/>
                <w:bCs/>
                <w:sz w:val="18"/>
                <w:szCs w:val="18"/>
              </w:rPr>
              <w:t xml:space="preserve">Regra estrutural</w:t>
            </w:r>
          </w:p>
        </w:tc>
        <w:tc>
          <w:tcPr>
            <w:tcW w:type="dxa" w:w="7863"/>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Cada caso é conduzido em ABA ou em Denver. Não existem atendimentos híbridos.</w:t>
            </w:r>
          </w:p>
        </w:tc>
      </w:tr>
      <w:tr>
        <w:trPr>
          <w:cantSplit/>
        </w:trPr>
        <w:tc>
          <w:tcPr>
            <w:tcW w:type="dxa" w:w="1775"/>
            <w:tcBorders>
              <w:top w:val="single" w:color="D0D5DD" w:sz="4"/>
              <w:left w:val="single" w:color="D0D5DD" w:sz="4"/>
              <w:bottom w:val="single" w:color="D0D5DD" w:sz="4"/>
              <w:right w:val="single" w:color="D0D5DD" w:sz="4"/>
            </w:tcBorders>
            <w:shd w:fill="E0F2F1" w:color="auto" w:val="clear"/>
            <w:tcMar>
              <w:top w:type="dxa" w:w="70"/>
              <w:left w:type="dxa" w:w="110"/>
              <w:bottom w:type="dxa" w:w="70"/>
              <w:right w:type="dxa" w:w="110"/>
            </w:tcMar>
            <w:vAlign w:val="top"/>
          </w:tcPr>
          <w:p>
            <w:pPr>
              <w:spacing w:after="40" w:line="260"/>
            </w:pPr>
            <w:r>
              <w:rPr>
                <w:b/>
                <w:bCs/>
                <w:sz w:val="18"/>
                <w:szCs w:val="18"/>
              </w:rPr>
              <w:t xml:space="preserve">Como ler</w:t>
            </w:r>
          </w:p>
        </w:tc>
        <w:tc>
          <w:tcPr>
            <w:tcW w:type="dxa" w:w="786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Seções 1 e 2 dão a visão e os princípios. A Seção 3 analisa as bases de referência. As Seções 4 e 5 fundamentam. As Seções 6 a 11 especificam o produto. As Seções 12 a 16 tratam da construção. A Seção 17 reúne as referências.</w:t>
            </w:r>
          </w:p>
        </w:tc>
      </w:tr>
    </w:tbl>
    <w:p>
      <w:pPr>
        <w:spacing w:after="120"/>
      </w:pPr>
    </w:p>
    <w:p>
      <w:pPr>
        <w:spacing w:after="140" w:before="0" w:line="300"/>
        <w:jc w:val="left"/>
      </w:pPr>
      <w:r>
        <w:rPr>
          <w:color w:val="667085"/>
          <w:sz w:val="18"/>
          <w:szCs w:val="18"/>
        </w:rPr>
        <w:t xml:space="preserve">Observação sobre fontes: as afirmações sobre legislação, normas profissionais e literatura foram verificadas em pesquisa realizada em outubro de 2026 e estão referenciadas na Seção 17. Este documento não substitui parecer jurídico nem a avaliação clínica do responsável técnico de cada caso.</w:t>
      </w:r>
    </w:p>
    <w:p>
      <w:r>
        <w:br w:type="page"/>
      </w:r>
    </w:p>
    <w:p>
      <w:pPr>
        <w:spacing w:after="200"/>
      </w:pPr>
      <w:r>
        <w:rPr>
          <w:b/>
          <w:bCs/>
          <w:color w:val="1B5E63"/>
          <w:sz w:val="28"/>
          <w:szCs w:val="28"/>
        </w:rPr>
        <w:t xml:space="preserve">Sumário</w:t>
      </w:r>
    </w:p>
    <w:sdt>
      <w:sdtPr>
        <w:alias w:val="Sumário"/>
      </w:sdtPr>
      <w:sdtContent>
        <w:p>
          <w:r>
            <w:fldChar w:fldCharType="begin" w:dirty="true"/>
            <w:instrText xml:space="preserve">TOC \h \o "1-2"</w:instrText>
            <w:fldChar w:fldCharType="separate"/>
          </w:r>
        </w:p>
        <w:p>
          <w:r>
            <w:fldChar w:fldCharType="end"/>
          </w:r>
        </w:p>
      </w:sdtContent>
    </w:sdt>
    <w:p>
      <w:pPr>
        <w:spacing w:after="140" w:before="0" w:line="300"/>
        <w:jc w:val="left"/>
      </w:pPr>
      <w:r>
        <w:rPr>
          <w:i/>
          <w:iCs/>
          <w:color w:val="667085"/>
          <w:sz w:val="16"/>
          <w:szCs w:val="16"/>
        </w:rPr>
        <w:t xml:space="preserve">Se o sumário aparecer vazio, clique com o botão direito sobre ele e escolha Atualizar campo.</w:t>
      </w:r>
    </w:p>
    <w:p>
      <w:pPr>
        <w:pStyle w:val="Heading1"/>
        <w:pageBreakBefore/>
      </w:pPr>
      <w:r>
        <w:t xml:space="preserve">1. Sumário executivo</w:t>
      </w:r>
    </w:p>
    <w:p>
      <w:pPr>
        <w:spacing w:after="140" w:before="0" w:line="300"/>
        <w:jc w:val="left"/>
      </w:pPr>
      <w:r>
        <w:t xml:space="preserve">Este documento especifica o PsicoPlay como um sistema operacional clínico para intervenção precoce e desenvolvimento infantojuvenil fundamentado na Análise do Comportamento Aplicada (ABA) e no Modelo Denver de Intervenção Precoce (ESDM). Ele parte da análise integral de dois repositórios existentes, o </w:t>
      </w:r>
      <w:r>
        <w:rPr>
          <w:b/>
          <w:bCs/>
        </w:rPr>
        <w:t xml:space="preserve">PsicoPlayKids</w:t>
      </w:r>
      <w:r>
        <w:t xml:space="preserve"> (monorepo com backend Supabase, SDK de jogos e 25 jogos) e o </w:t>
      </w:r>
      <w:r>
        <w:rPr>
          <w:b/>
          <w:bCs/>
        </w:rPr>
        <w:t xml:space="preserve">Terapia-Arcade</w:t>
      </w:r>
      <w:r>
        <w:t xml:space="preserve"> (protótipo de biblioteca de minijogos configuráveis com 7 jogos), e os usa como </w:t>
      </w:r>
      <w:r>
        <w:rPr>
          <w:b/>
          <w:bCs/>
        </w:rPr>
        <w:t xml:space="preserve">bases de referência</w:t>
      </w:r>
      <w:r>
        <w:t xml:space="preserve"> para especificar uma plataforma nova, construída do zero, com prioridade para os pressupostos teóricos, a qualidade do design, da página inicial e das telas de acesso. O documento define a plataforma completa: módulos, lógica clínica, modelo de dados, motor de cruzamento de dados, catálogo de jogos e recursos, telas, design system, segurança, conformidade legal e roteiro de implantação.</w:t>
      </w:r>
    </w:p>
    <w:p>
      <w:pPr>
        <w:spacing w:after="140" w:before="0" w:line="300"/>
        <w:jc w:val="left"/>
      </w:pPr>
      <w:r>
        <w:t xml:space="preserve">O diagnóstico das bases orienta a nova construção. O PsicoPlayKids demonstrou padrões técnicos que valem como referência e devem ser reproduzidos desde o primeiro dia: isolamento de dados por organização via Row Level Security, registro de eventos clínicos imutável (append-only) com idempotência, pontuação recalculada no servidor a partir de um manifesto versionado, token de sessão infantil com hash e validade curta, e um modelo de ameaças documentado. O que faltou nas bases não foi infraestrutura, foi o </w:t>
      </w:r>
      <w:r>
        <w:rPr>
          <w:b/>
          <w:bCs/>
        </w:rPr>
        <w:t xml:space="preserve">núcleo clínico</w:t>
      </w:r>
      <w:r>
        <w:t xml:space="preserve">. Elas registram que uma criança acertou ou errou dentro de um jogo, mas não sabe a qual objetivo do plano individual aquela tentativa pertence, em que fase o alvo está, qual nível de dica foi usado segundo uma hierarquia definida pelo profissional, nem qual é o critério de domínio daquele alvo. Sem essa camada, os dados existem, mas não sustentam decisão clínica.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5E63" w:sz="24"/>
              <w:bottom w:val="none" w:color="FFFFFF" w:sz="0"/>
              <w:right w:val="none" w:color="FFFFFF" w:sz="0"/>
            </w:tcBorders>
            <w:shd w:fill="E0F2F1" w:color="auto" w:val="clear"/>
            <w:tcMar>
              <w:top w:type="dxa" w:w="140"/>
              <w:left w:type="dxa" w:w="220"/>
              <w:bottom w:type="dxa" w:w="120"/>
              <w:right w:type="dxa" w:w="200"/>
            </w:tcMar>
          </w:tcPr>
          <w:p>
            <w:pPr>
              <w:spacing w:after="80"/>
            </w:pPr>
            <w:r>
              <w:rPr>
                <w:b/>
                <w:bCs/>
                <w:color w:val="1B5E63"/>
                <w:sz w:val="20"/>
                <w:szCs w:val="20"/>
              </w:rPr>
              <w:t xml:space="preserve">Decisão estrutural recomendada</w:t>
            </w:r>
          </w:p>
          <w:p>
            <w:pPr>
              <w:spacing w:after="70" w:line="280"/>
            </w:pPr>
            <w:r>
              <w:rPr>
                <w:sz w:val="19"/>
                <w:szCs w:val="19"/>
              </w:rPr>
              <w:t xml:space="preserve">O eixo do sistema deve deixar de ser o </w:t>
            </w:r>
            <w:r>
              <w:rPr>
                <w:b/>
                <w:bCs/>
                <w:sz w:val="19"/>
                <w:szCs w:val="19"/>
              </w:rPr>
              <w:t xml:space="preserve">jogo</w:t>
            </w:r>
            <w:r>
              <w:rPr>
                <w:sz w:val="19"/>
                <w:szCs w:val="19"/>
              </w:rPr>
              <w:t xml:space="preserve"> e passar a ser o </w:t>
            </w:r>
            <w:r>
              <w:rPr>
                <w:b/>
                <w:bCs/>
                <w:sz w:val="19"/>
                <w:szCs w:val="19"/>
              </w:rPr>
              <w:t xml:space="preserve">alvo do plano individual</w:t>
            </w:r>
            <w:r>
              <w:rPr>
                <w:sz w:val="19"/>
                <w:szCs w:val="19"/>
              </w:rPr>
              <w:t xml:space="preserve">. Todo dado (tentativa digital, tentativa de mesa, oportunidade em ambiente natural, passo de objetivo Denver, registro de comportamento) precisa carregar a referência ao alvo, à fase, ao conjunto de estímulos, ao nível de dica e ao contexto. O jogo passa a ser um dos canais de coleta, ao lado da aplicação presencial e do registro da família.</w:t>
            </w:r>
          </w:p>
          <w:p>
            <w:pPr>
              <w:spacing w:after="70" w:line="280"/>
            </w:pPr>
            <w:r>
              <w:rPr>
                <w:sz w:val="19"/>
                <w:szCs w:val="19"/>
              </w:rPr>
              <w:t xml:space="preserve">Cada caso é conduzido em um único modelo de intervenção, </w:t>
            </w:r>
            <w:r>
              <w:rPr>
                <w:b/>
                <w:bCs/>
                <w:sz w:val="19"/>
                <w:szCs w:val="19"/>
              </w:rPr>
              <w:t xml:space="preserve">ABA ou Denver</w:t>
            </w:r>
            <w:r>
              <w:rPr>
                <w:sz w:val="19"/>
                <w:szCs w:val="19"/>
              </w:rPr>
              <w:t xml:space="preserve">, nunca híbrido. A plataforma impõe essa regra no banco de dados, nas telas de planejamento e na aplicação da sessão, porque os dois modelos têm unidades de análise, procedimentos de coleta e lógicas de domínio diferentes, e misturá-los no mesmo registro invalida a comparação ao longo do tempo e a aferição de fidelidade.</w:t>
            </w:r>
          </w:p>
        </w:tc>
      </w:tr>
    </w:tbl>
    <w:p>
      <w:pPr>
        <w:spacing w:after="120"/>
      </w:pPr>
    </w:p>
    <w:p>
      <w:pPr>
        <w:spacing w:after="140" w:before="0" w:line="300"/>
        <w:jc w:val="left"/>
      </w:pPr>
      <w:r>
        <w:t xml:space="preserve">O documento também registra problemas encontrados nas bases que a nova plataforma não pode repetir, por envolverem risco ético, legal ou de perda de dados: um ranking semanal entre crianças no portal infantil (com nomes fictícios fixos no código, mas contradizendo a própria página inicial, que promete ausência de rankings), um questionário de triagem aberto ao público na página inicial, instrumentos de rastreio para adultos (PHQ-9, ASRS, AQ-10, CBI, WHO-5) incorporados a uma plataforma de intervenção infantil, duas filas de eventos sem reconciliação que podem perder tentativas registradas, duplicação de código entre a raiz do repositório e os apps, e documentação de status que já não corresponde ao código. Como a plataforma será construída do zero, cada um desses pontos se converte em requisito de projeto, verificado desde a primeira versão.</w:t>
      </w:r>
    </w:p>
    <w:p>
      <w:pPr>
        <w:spacing w:after="140" w:before="0" w:line="300"/>
        <w:jc w:val="left"/>
      </w:pPr>
      <w:r>
        <w:t xml:space="preserve">Por fim, o documento incorpora uma restrição que é ao mesmo tempo científica e de produto: a recomendação da Sociedade Brasileira de Pediatria (atualização de 2024) de evitar telas antes dos 2 anos e limitar a uma hora diária, com mediação adulta, entre 2 e 5 anos. Como o público do Modelo Denver começa aos 12 meses, a plataforma não pode tratar o tablet da criança como o centro da intervenção precoce. Para os menores de 2 anos, o PsicoPlay é uma ferramenta do terapeuta e da família (planejamento, registro, orientação parental), e não um aplicativo para a criança. A tela entra progressivamente com a idade, sempre como recurso mediado, contabilizado e, quando funciona como reforçador, controlado por tempo.</w:t>
      </w:r>
    </w:p>
    <w:p>
      <w:pPr>
        <w:pStyle w:val="Heading2"/>
        <w:keepNext/>
      </w:pPr>
      <w:r>
        <w:t xml:space="preserve">1.1 O que este documento entrega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2"/>
        <w:gridCol w:w="5507"/>
        <w:gridCol w:w="2479"/>
      </w:tblGrid>
      <w:tr>
        <w:trPr>
          <w:tblHeader/>
        </w:trPr>
        <w:tc>
          <w:tcPr>
            <w:tcW w:type="dxa" w:w="1652"/>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Parte</w:t>
            </w:r>
          </w:p>
        </w:tc>
        <w:tc>
          <w:tcPr>
            <w:tcW w:type="dxa" w:w="5507"/>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Conteúdo</w:t>
            </w:r>
          </w:p>
        </w:tc>
        <w:tc>
          <w:tcPr>
            <w:tcW w:type="dxa" w:w="2479"/>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Para quem</w:t>
            </w:r>
          </w:p>
        </w:tc>
      </w:tr>
      <w:tr>
        <w:trPr>
          <w:cantSplit/>
        </w:trPr>
        <w:tc>
          <w:tcPr>
            <w:tcW w:type="dxa" w:w="165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Bases de referência</w:t>
            </w:r>
          </w:p>
        </w:tc>
        <w:tc>
          <w:tcPr>
            <w:tcW w:type="dxa" w:w="550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Análise dos dois repositórios, acertos a herdar, problemas a não repetir, matriz de herança para a nova plataforma</w:t>
            </w:r>
          </w:p>
        </w:tc>
        <w:tc>
          <w:tcPr>
            <w:tcW w:type="dxa" w:w="247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Coordenação técnica e desenvolvimento</w:t>
            </w:r>
          </w:p>
        </w:tc>
      </w:tr>
      <w:tr>
        <w:trPr>
          <w:cantSplit/>
        </w:trPr>
        <w:tc>
          <w:tcPr>
            <w:tcW w:type="dxa" w:w="165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Fundamentação</w:t>
            </w:r>
          </w:p>
        </w:tc>
        <w:tc>
          <w:tcPr>
            <w:tcW w:type="dxa" w:w="550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Base teórica (ABA, comportamento verbal, ESDM/NDBI), evidência sobre tecnologia, critérios de domínio, análise visual, avaliação de preferência, fidelidade, tempo de tela</w:t>
            </w:r>
          </w:p>
        </w:tc>
        <w:tc>
          <w:tcPr>
            <w:tcW w:type="dxa" w:w="247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Supervisão clínica e validação científica</w:t>
            </w:r>
          </w:p>
        </w:tc>
      </w:tr>
      <w:tr>
        <w:trPr>
          <w:cantSplit/>
        </w:trPr>
        <w:tc>
          <w:tcPr>
            <w:tcW w:type="dxa" w:w="165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Conformidade</w:t>
            </w:r>
          </w:p>
        </w:tc>
        <w:tc>
          <w:tcPr>
            <w:tcW w:type="dxa" w:w="550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LGPD e Enunciado ANPD 1/2023, ECA Digital (Lei 15.211/2025), resoluções do CFP, prontuário eletrônico, licenças de instrumentos e pictogramas</w:t>
            </w:r>
          </w:p>
        </w:tc>
        <w:tc>
          <w:tcPr>
            <w:tcW w:type="dxa" w:w="247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Responsável técnico e jurídico</w:t>
            </w:r>
          </w:p>
        </w:tc>
      </w:tr>
      <w:tr>
        <w:trPr>
          <w:cantSplit/>
        </w:trPr>
        <w:tc>
          <w:tcPr>
            <w:tcW w:type="dxa" w:w="165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Especificação funcional</w:t>
            </w:r>
          </w:p>
        </w:tc>
        <w:tc>
          <w:tcPr>
            <w:tcW w:type="dxa" w:w="550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14 módulos do sistema operacional clínico, com regras de negócio e fluxos de ABA e de Denver</w:t>
            </w:r>
          </w:p>
        </w:tc>
        <w:tc>
          <w:tcPr>
            <w:tcW w:type="dxa" w:w="247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Produto, desenvolvimento e supervisão</w:t>
            </w:r>
          </w:p>
        </w:tc>
      </w:tr>
      <w:tr>
        <w:trPr>
          <w:cantSplit/>
        </w:trPr>
        <w:tc>
          <w:tcPr>
            <w:tcW w:type="dxa" w:w="165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Backend</w:t>
            </w:r>
          </w:p>
        </w:tc>
        <w:tc>
          <w:tcPr>
            <w:tcW w:type="dxa" w:w="550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Modelo de dados centrado no alvo, protocolo de eventos v2, pipeline de ingestão, projeções, motor de regras de decisão e indicadores</w:t>
            </w:r>
          </w:p>
        </w:tc>
        <w:tc>
          <w:tcPr>
            <w:tcW w:type="dxa" w:w="247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Desenvolvimento backend</w:t>
            </w:r>
          </w:p>
        </w:tc>
      </w:tr>
      <w:tr>
        <w:trPr>
          <w:cantSplit/>
        </w:trPr>
        <w:tc>
          <w:tcPr>
            <w:tcW w:type="dxa" w:w="165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Jogos e recursos</w:t>
            </w:r>
          </w:p>
        </w:tc>
        <w:tc>
          <w:tcPr>
            <w:tcW w:type="dxa" w:w="550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Manifesto clínico obrigatório, classificação por nível de brincar, mapeamento dos 25 jogos, 18 novos recursos, materiais imprimíveis</w:t>
            </w:r>
          </w:p>
        </w:tc>
        <w:tc>
          <w:tcPr>
            <w:tcW w:type="dxa" w:w="247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Design de jogos e supervisão</w:t>
            </w:r>
          </w:p>
        </w:tc>
      </w:tr>
      <w:tr>
        <w:trPr>
          <w:cantSplit/>
        </w:trPr>
        <w:tc>
          <w:tcPr>
            <w:tcW w:type="dxa" w:w="165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Telas e design</w:t>
            </w:r>
          </w:p>
        </w:tc>
        <w:tc>
          <w:tcPr>
            <w:tcW w:type="dxa" w:w="550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Mapa de navegação, página inicial pública, telas de acesso, telas principais por perfil, design system, perfil sensorial, acessibilidade</w:t>
            </w:r>
          </w:p>
        </w:tc>
        <w:tc>
          <w:tcPr>
            <w:tcW w:type="dxa" w:w="247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Design e frontend</w:t>
            </w:r>
          </w:p>
        </w:tc>
      </w:tr>
      <w:tr>
        <w:trPr>
          <w:cantSplit/>
        </w:trPr>
        <w:tc>
          <w:tcPr>
            <w:tcW w:type="dxa" w:w="165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Construção</w:t>
            </w:r>
          </w:p>
        </w:tc>
        <w:tc>
          <w:tcPr>
            <w:tcW w:type="dxa" w:w="550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Arquitetura técnica do zero, roteiro em 10 subprojetos com dependências e critérios de aceite, riscos, métricas, decisões pendentes</w:t>
            </w:r>
          </w:p>
        </w:tc>
        <w:tc>
          <w:tcPr>
            <w:tcW w:type="dxa" w:w="247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Coordenação geral</w:t>
            </w:r>
          </w:p>
        </w:tc>
      </w:tr>
    </w:tbl>
    <w:p>
      <w:pPr>
        <w:spacing w:after="120"/>
      </w:pPr>
    </w:p>
    <w:p>
      <w:pPr>
        <w:pStyle w:val="Heading1"/>
        <w:pageBreakBefore/>
      </w:pPr>
      <w:r>
        <w:t xml:space="preserve">2. Escopo, princípios e perfis de uso</w:t>
      </w:r>
    </w:p>
    <w:p>
      <w:pPr>
        <w:pStyle w:val="Heading2"/>
        <w:keepNext/>
      </w:pPr>
      <w:r>
        <w:t xml:space="preserve">2.1 Visão do produto</w:t>
      </w:r>
    </w:p>
    <w:p>
      <w:pPr>
        <w:spacing w:after="140" w:before="0" w:line="300"/>
        <w:jc w:val="left"/>
      </w:pPr>
      <w:r>
        <w:t xml:space="preserve">O PsicoPlay é o ambiente único onde a equipe de intervenção planeja, aplica, registra, analisa e comunica o trabalho com cada criança ou adolescente. Para o profissional, ele substitui a combinação habitual de folhas de registro em papel, planilhas, pastas de estímulos, aplicativos avulsos e relatórios montados à mão. Para a criança que se beneficia de tecnologia, ele oferece um ambiente digital previsível, sensorialmente ajustável e livre de mecânicas de engajamento predatórias, no qual os jogos funcionam como recursos de ensino, de regulação ou de reforçamento, sempre configurados pelo profissional responsável.</w:t>
      </w:r>
    </w:p>
    <w:p>
      <w:pPr>
        <w:spacing w:after="140" w:before="0" w:line="300"/>
        <w:jc w:val="left"/>
      </w:pPr>
      <w:r>
        <w:t xml:space="preserve">A metáfora de sistema operacional é literal em três sentidos. Primeiro, há um núcleo (caso, plano, alvo, sessão, evento) sobre o qual todos os módulos operam. Segundo, os jogos são aplicativos instalados nesse núcleo por meio de um contrato formal (o manifesto clínico), o que permite crescer o catálogo sem contaminar os dados. Terceiro, o sistema gerencia recursos escassos da criança, como tempo de tela, saciação de reforçadores e carga sensorial, do mesmo modo que um sistema operacional gerencia memória e processamento.</w:t>
      </w:r>
    </w:p>
    <w:p>
      <w:pPr>
        <w:pStyle w:val="Heading2"/>
        <w:keepNext/>
      </w:pPr>
      <w:r>
        <w:t xml:space="preserve">2.2 Princípios inegociáveis</w:t>
      </w:r>
    </w:p>
    <w:p>
      <w:pPr>
        <w:spacing w:after="140" w:before="0" w:line="300"/>
        <w:jc w:val="left"/>
      </w:pPr>
      <w:r>
        <w:t xml:space="preserve">Os princípios abaixo orientam todas as decisões de especificação. Quando uma funcionalidade proposta entrar em conflito com algum deles, o princípio prevalece.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75"/>
        <w:gridCol w:w="3297"/>
        <w:gridCol w:w="4566"/>
      </w:tblGrid>
      <w:tr>
        <w:trPr>
          <w:tblHeader/>
        </w:trPr>
        <w:tc>
          <w:tcPr>
            <w:tcW w:type="dxa" w:w="1775"/>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Princípio</w:t>
            </w:r>
          </w:p>
        </w:tc>
        <w:tc>
          <w:tcPr>
            <w:tcW w:type="dxa" w:w="3297"/>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Enunciado</w:t>
            </w:r>
          </w:p>
        </w:tc>
        <w:tc>
          <w:tcPr>
            <w:tcW w:type="dxa" w:w="4566"/>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Consequência no sistema</w:t>
            </w:r>
          </w:p>
        </w:tc>
      </w:tr>
      <w:tr>
        <w:trPr>
          <w:cantSplit/>
        </w:trPr>
        <w:tc>
          <w:tcPr>
            <w:tcW w:type="dxa" w:w="177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P1. Modelo único por caso</w:t>
            </w:r>
          </w:p>
        </w:tc>
        <w:tc>
          <w:tcPr>
            <w:tcW w:type="dxa" w:w="329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Cada caso é conduzido em ABA ou em Denver. Não existem atendimentos híbridos.</w:t>
            </w:r>
          </w:p>
        </w:tc>
        <w:tc>
          <w:tcPr>
            <w:tcW w:type="dxa" w:w="456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Campo </w:t>
            </w:r>
            <w:r>
              <w:rPr>
                <w:rFonts w:ascii="Courier New" w:cs="Courier New" w:eastAsia="Courier New" w:hAnsi="Courier New"/>
                <w:b w:val="false"/>
                <w:bCs w:val="false"/>
                <w:sz w:val="18"/>
                <w:szCs w:val="18"/>
              </w:rPr>
              <w:t xml:space="preserve">modelo</w:t>
            </w:r>
            <w:r>
              <w:rPr>
                <w:b w:val="false"/>
                <w:bCs w:val="false"/>
                <w:sz w:val="18"/>
                <w:szCs w:val="18"/>
              </w:rPr>
              <w:t xml:space="preserve"> obrigatório e imutável no plano; telas, tipos de sessão e regras de domínio diferentes por modelo; troca de modelo só por encerramento formal do plano e abertura de outro.</w:t>
            </w:r>
          </w:p>
        </w:tc>
      </w:tr>
      <w:tr>
        <w:trPr>
          <w:cantSplit/>
        </w:trPr>
        <w:tc>
          <w:tcPr>
            <w:tcW w:type="dxa" w:w="1775"/>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P2. O alvo é a unidade</w:t>
            </w:r>
          </w:p>
        </w:tc>
        <w:tc>
          <w:tcPr>
            <w:tcW w:type="dxa" w:w="329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Todo dado clínico se refere a um alvo operacionalmente definido do plano individual.</w:t>
            </w:r>
          </w:p>
        </w:tc>
        <w:tc>
          <w:tcPr>
            <w:tcW w:type="dxa" w:w="456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Eventos sem </w:t>
            </w:r>
            <w:r>
              <w:rPr>
                <w:rFonts w:ascii="Courier New" w:cs="Courier New" w:eastAsia="Courier New" w:hAnsi="Courier New"/>
                <w:b w:val="false"/>
                <w:bCs w:val="false"/>
                <w:sz w:val="18"/>
                <w:szCs w:val="18"/>
              </w:rPr>
              <w:t xml:space="preserve">target_id</w:t>
            </w:r>
            <w:r>
              <w:rPr>
                <w:b w:val="false"/>
                <w:bCs w:val="false"/>
                <w:sz w:val="18"/>
                <w:szCs w:val="18"/>
              </w:rPr>
              <w:t xml:space="preserve"> são aceitos apenas como telemetria lúdica e nunca entram em gráficos ou relatórios clínicos.</w:t>
            </w:r>
          </w:p>
        </w:tc>
      </w:tr>
      <w:tr>
        <w:trPr>
          <w:cantSplit/>
        </w:trPr>
        <w:tc>
          <w:tcPr>
            <w:tcW w:type="dxa" w:w="177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P3. O jogo é recurso, não terapeuta</w:t>
            </w:r>
          </w:p>
        </w:tc>
        <w:tc>
          <w:tcPr>
            <w:tcW w:type="dxa" w:w="329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Nenhum jogo decide avanço de fase, encerra objetivo ou gera conclusão clínica sozinho.</w:t>
            </w:r>
          </w:p>
        </w:tc>
        <w:tc>
          <w:tcPr>
            <w:tcW w:type="dxa" w:w="456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O motor de regras sugere; o profissional confirma. Toda mudança de fase registra autor, data e justificativa.</w:t>
            </w:r>
          </w:p>
        </w:tc>
      </w:tr>
      <w:tr>
        <w:trPr>
          <w:cantSplit/>
        </w:trPr>
        <w:tc>
          <w:tcPr>
            <w:tcW w:type="dxa" w:w="1775"/>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P4. Honestidade do dado</w:t>
            </w:r>
          </w:p>
        </w:tc>
        <w:tc>
          <w:tcPr>
            <w:tcW w:type="dxa" w:w="329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Só se chama de domínio o que atende ao critério definido para aquele alvo. Índices de jogo não são domínio.</w:t>
            </w:r>
          </w:p>
        </w:tc>
        <w:tc>
          <w:tcPr>
            <w:tcW w:type="dxa" w:w="456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Renomear a atual “maestria” para índice de desempenho no jogo; percentuais nunca agregados entre alvos com definições diferentes.</w:t>
            </w:r>
          </w:p>
        </w:tc>
      </w:tr>
      <w:tr>
        <w:trPr>
          <w:cantSplit/>
        </w:trPr>
        <w:tc>
          <w:tcPr>
            <w:tcW w:type="dxa" w:w="177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P5. Tela proporcional à idade</w:t>
            </w:r>
          </w:p>
        </w:tc>
        <w:tc>
          <w:tcPr>
            <w:tcW w:type="dxa" w:w="329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A exposição a telas segue as recomendações da SBP e é sempre mediada por adulto até a adolescência.</w:t>
            </w:r>
          </w:p>
        </w:tc>
        <w:tc>
          <w:tcPr>
            <w:tcW w:type="dxa" w:w="456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Medidor de tempo de tela por criança, limites configuráveis com padrão por faixa etária, sem acesso infantil autônomo abaixo de 2 anos.</w:t>
            </w:r>
          </w:p>
        </w:tc>
      </w:tr>
      <w:tr>
        <w:trPr>
          <w:cantSplit/>
        </w:trPr>
        <w:tc>
          <w:tcPr>
            <w:tcW w:type="dxa" w:w="1775"/>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P6. Privacidade desde a concepção</w:t>
            </w:r>
          </w:p>
        </w:tc>
        <w:tc>
          <w:tcPr>
            <w:tcW w:type="dxa" w:w="329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Dados de saúde de crianças são o tipo de dado mais sensível tratado pela plataforma.</w:t>
            </w:r>
          </w:p>
        </w:tc>
        <w:tc>
          <w:tcPr>
            <w:tcW w:type="dxa" w:w="456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Mínimo necessário por perfil, trilha de auditoria de leitura e escrita, criptografia de colunas sensíveis, exportação controlada.</w:t>
            </w:r>
          </w:p>
        </w:tc>
      </w:tr>
      <w:tr>
        <w:trPr>
          <w:cantSplit/>
        </w:trPr>
        <w:tc>
          <w:tcPr>
            <w:tcW w:type="dxa" w:w="177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P7. Sem engajamento predatório</w:t>
            </w:r>
          </w:p>
        </w:tc>
        <w:tc>
          <w:tcPr>
            <w:tcW w:type="dxa" w:w="329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Reforçamento é ferramenta clínica, não mecanismo de retenção.</w:t>
            </w:r>
          </w:p>
        </w:tc>
        <w:tc>
          <w:tcPr>
            <w:tcW w:type="dxa" w:w="456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Proibidos ranking entre crianças, recompensas aleatórias tipo caixa-surpresa, sequências punitivas, notificações para a criança e compras.</w:t>
            </w:r>
          </w:p>
        </w:tc>
      </w:tr>
      <w:tr>
        <w:trPr>
          <w:cantSplit/>
        </w:trPr>
        <w:tc>
          <w:tcPr>
            <w:tcW w:type="dxa" w:w="1775"/>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P8. Generalização como meta</w:t>
            </w:r>
          </w:p>
        </w:tc>
        <w:tc>
          <w:tcPr>
            <w:tcW w:type="dxa" w:w="329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Habilidade aprendida só na tela não é habilidade aprendida.</w:t>
            </w:r>
          </w:p>
        </w:tc>
        <w:tc>
          <w:tcPr>
            <w:tcW w:type="dxa" w:w="456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Cada alvo trabalhado em jogo exige sondas de generalização fora da tela, com outro material, outra pessoa ou outro ambiente.</w:t>
            </w:r>
          </w:p>
        </w:tc>
      </w:tr>
    </w:tbl>
    <w:p>
      <w:pPr>
        <w:spacing w:after="120"/>
      </w:pPr>
    </w:p>
    <w:p>
      <w:pPr>
        <w:pStyle w:val="Heading2"/>
        <w:keepNext/>
      </w:pPr>
      <w:r>
        <w:t xml:space="preserve">2.3 Perfis de uso e responsabilidades</w:t>
      </w:r>
    </w:p>
    <w:p>
      <w:pPr>
        <w:spacing w:after="140" w:before="0" w:line="300"/>
        <w:jc w:val="left"/>
      </w:pPr>
      <w:r>
        <w:t xml:space="preserve">A plataforma atende cinco perfis humanos e um perfil técnico. As permissões são definidas por organização e por vínculo com cada caso, e não apenas pelo papel, porque na prática clínica um mesmo profissional pode ser supervisor de um caso e aplicador de outro.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29"/>
        <w:gridCol w:w="2224"/>
        <w:gridCol w:w="3459"/>
        <w:gridCol w:w="2226"/>
      </w:tblGrid>
      <w:tr>
        <w:trPr>
          <w:tblHeader/>
        </w:trPr>
        <w:tc>
          <w:tcPr>
            <w:tcW w:type="dxa" w:w="1729"/>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Perfil</w:t>
            </w:r>
          </w:p>
        </w:tc>
        <w:tc>
          <w:tcPr>
            <w:tcW w:type="dxa" w:w="2224"/>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Quem é</w:t>
            </w:r>
          </w:p>
        </w:tc>
        <w:tc>
          <w:tcPr>
            <w:tcW w:type="dxa" w:w="3459"/>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O que faz na plataforma</w:t>
            </w:r>
          </w:p>
        </w:tc>
        <w:tc>
          <w:tcPr>
            <w:tcW w:type="dxa" w:w="2226"/>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O que não faz</w:t>
            </w:r>
          </w:p>
        </w:tc>
      </w:tr>
      <w:tr>
        <w:trPr>
          <w:cantSplit/>
        </w:trPr>
        <w:tc>
          <w:tcPr>
            <w:tcW w:type="dxa" w:w="172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Coordenação / supervisão clínica</w:t>
            </w:r>
          </w:p>
        </w:tc>
        <w:tc>
          <w:tcPr>
            <w:tcW w:type="dxa" w:w="222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Psicólogo(a) responsável técnico pelo caso; analista do comportamento supervisor; coordenador(a) clínico(a)</w:t>
            </w:r>
          </w:p>
        </w:tc>
        <w:tc>
          <w:tcPr>
            <w:tcW w:type="dxa" w:w="345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Define modelo do caso, elabora e aprova o plano individual, define critérios, revisa dados, aprova mudanças de fase, avalia fidelidade, emite documentos</w:t>
            </w:r>
          </w:p>
        </w:tc>
        <w:tc>
          <w:tcPr>
            <w:tcW w:type="dxa" w:w="222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w:t>
            </w:r>
          </w:p>
        </w:tc>
      </w:tr>
      <w:tr>
        <w:trPr>
          <w:cantSplit/>
        </w:trPr>
        <w:tc>
          <w:tcPr>
            <w:tcW w:type="dxa" w:w="172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Aplicador / terapeuta / AT</w:t>
            </w:r>
          </w:p>
        </w:tc>
        <w:tc>
          <w:tcPr>
            <w:tcW w:type="dxa" w:w="2224"/>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Profissional que executa as sessões presenciais, na clínica, em casa ou na escola</w:t>
            </w:r>
          </w:p>
        </w:tc>
        <w:tc>
          <w:tcPr>
            <w:tcW w:type="dxa" w:w="345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Aplica sessões conforme o plano, registra tentativas e comportamentos, registra notas de sessão, sinaliza dificuldades</w:t>
            </w:r>
          </w:p>
        </w:tc>
        <w:tc>
          <w:tcPr>
            <w:tcW w:type="dxa" w:w="222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Não altera plano, critérios nem fases sem aprovação</w:t>
            </w:r>
          </w:p>
        </w:tc>
      </w:tr>
      <w:tr>
        <w:trPr>
          <w:cantSplit/>
        </w:trPr>
        <w:tc>
          <w:tcPr>
            <w:tcW w:type="dxa" w:w="172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Família / responsável legal</w:t>
            </w:r>
          </w:p>
        </w:tc>
        <w:tc>
          <w:tcPr>
            <w:tcW w:type="dxa" w:w="222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Pais, mães, cuidadores com guarda legal</w:t>
            </w:r>
          </w:p>
        </w:tc>
        <w:tc>
          <w:tcPr>
            <w:tcW w:type="dxa" w:w="345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Consente, acompanha relatórios em linguagem acessível, executa tarefas de generalização orientadas, registra ocorrências em casa, responde à validação social</w:t>
            </w:r>
          </w:p>
        </w:tc>
        <w:tc>
          <w:tcPr>
            <w:tcW w:type="dxa" w:w="222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Não acessa notas clínicas internas nem dados de outras crianças</w:t>
            </w:r>
          </w:p>
        </w:tc>
      </w:tr>
      <w:tr>
        <w:trPr>
          <w:cantSplit/>
        </w:trPr>
        <w:tc>
          <w:tcPr>
            <w:tcW w:type="dxa" w:w="172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Criança / adolescente</w:t>
            </w:r>
          </w:p>
        </w:tc>
        <w:tc>
          <w:tcPr>
            <w:tcW w:type="dxa" w:w="2224"/>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Pessoa atendida que usa o portal infantil</w:t>
            </w:r>
          </w:p>
        </w:tc>
        <w:tc>
          <w:tcPr>
            <w:tcW w:type="dxa" w:w="345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Joga as atividades liberadas na sessão, usa a agenda visual, o quadro de fichas e a prancha de comunicação</w:t>
            </w:r>
          </w:p>
        </w:tc>
        <w:tc>
          <w:tcPr>
            <w:tcW w:type="dxa" w:w="222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Não navega livremente pelo catálogo, não vê dados de desempenho comparativos, não recebe notificações</w:t>
            </w:r>
          </w:p>
        </w:tc>
      </w:tr>
      <w:tr>
        <w:trPr>
          <w:cantSplit/>
        </w:trPr>
        <w:tc>
          <w:tcPr>
            <w:tcW w:type="dxa" w:w="172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Escola (opcional, por convite)</w:t>
            </w:r>
          </w:p>
        </w:tc>
        <w:tc>
          <w:tcPr>
            <w:tcW w:type="dxa" w:w="222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Professor(a) de referência, quando a família autoriza</w:t>
            </w:r>
          </w:p>
        </w:tc>
        <w:tc>
          <w:tcPr>
            <w:tcW w:type="dxa" w:w="345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Recebe orientações e registra sondas de generalização combinadas</w:t>
            </w:r>
          </w:p>
        </w:tc>
        <w:tc>
          <w:tcPr>
            <w:tcW w:type="dxa" w:w="222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Não acessa prontuário</w:t>
            </w:r>
          </w:p>
        </w:tc>
      </w:tr>
      <w:tr>
        <w:trPr>
          <w:cantSplit/>
        </w:trPr>
        <w:tc>
          <w:tcPr>
            <w:tcW w:type="dxa" w:w="172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Administração da organização</w:t>
            </w:r>
          </w:p>
        </w:tc>
        <w:tc>
          <w:tcPr>
            <w:tcW w:type="dxa" w:w="2224"/>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Gestor(a) da clínica</w:t>
            </w:r>
          </w:p>
        </w:tc>
        <w:tc>
          <w:tcPr>
            <w:tcW w:type="dxa" w:w="345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Gerencia profissionais, vínculos, licenças e configurações gerais</w:t>
            </w:r>
          </w:p>
        </w:tc>
        <w:tc>
          <w:tcPr>
            <w:tcW w:type="dxa" w:w="222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Não acessa conteúdo clínico por padrão (separação entre gestão e clínica)</w:t>
            </w:r>
          </w:p>
        </w:tc>
      </w:tr>
    </w:tbl>
    <w:p>
      <w:pPr>
        <w:spacing w:after="120"/>
      </w:pPr>
    </w:p>
    <w:p>
      <w:pPr>
        <w:spacing w:after="140" w:before="0" w:line="300"/>
        <w:jc w:val="left"/>
      </w:pPr>
      <w:r>
        <w:t xml:space="preserve">A separação entre administração e conteúdo clínico merece destaque. Em clínicas de pequeno porte o gestor costuma ser também psicólogo, mas a plataforma não deve presumir isso. O acesso ao conteúdo clínico decorre do vínculo profissional com o caso, registrado e auditável, e não do cargo administrativo.</w:t>
      </w:r>
    </w:p>
    <w:p>
      <w:pPr>
        <w:pStyle w:val="Heading1"/>
        <w:pageBreakBefore/>
      </w:pPr>
      <w:r>
        <w:t xml:space="preserve">3. Bases de referência: o que herdar e o que não repetir</w:t>
      </w:r>
    </w:p>
    <w:p>
      <w:pPr>
        <w:spacing w:after="140" w:before="0" w:line="300"/>
        <w:jc w:val="left"/>
      </w:pPr>
      <w:r>
        <w:t xml:space="preserve">A análise a seguir foi feita sobre o código-fonte completo dos dois repositórios (versões enviadas em outubro de 2026), incluindo migrações de banco, pacotes compartilhados, jogos, documentação interna e testes. Os repositórios não são o produto final: são bases de referência. O objetivo desta seção é extrair deles os padrões que a nova plataforma deve adotar desde o início e os erros que ela não pode repetir. A plataforma em si será construída do zero, conforme as Seções 6 a 13.</w:t>
      </w:r>
    </w:p>
    <w:p>
      <w:pPr>
        <w:pStyle w:val="Heading2"/>
        <w:keepNext/>
      </w:pPr>
      <w:r>
        <w:t xml:space="preserve">3.1 Terapia-Arcade</w:t>
      </w:r>
    </w:p>
    <w:p>
      <w:pPr>
        <w:pStyle w:val="Heading3"/>
        <w:keepNext/>
      </w:pPr>
      <w:r>
        <w:t xml:space="preserve">O que é</w:t>
      </w:r>
    </w:p>
    <w:p>
      <w:pPr>
        <w:spacing w:after="140" w:before="0" w:line="300"/>
        <w:jc w:val="left"/>
      </w:pPr>
      <w:r>
        <w:t xml:space="preserve">Protótipo de página única (React 19, Vite 6, Tailwind 4, Motion) gerado em ambiente do Google AI Studio, descrito no próprio metadado como biblioteca de minigames terapêuticos configuráveis para profissionais de Psicologia, ABA, Denver e desenvolvimento infantil. Tem cerca de 3.400 linhas de código próprio, sete jogos e três visões: biblioteca de jogos, histórico de sessões e cadastro de aprendizes.</w:t>
      </w:r>
    </w:p>
    <w:p>
      <w:pPr>
        <w:pStyle w:val="Heading3"/>
        <w:keepNext/>
      </w:pPr>
      <w:r>
        <w:t xml:space="preserve">O que tem de valioso</w:t>
      </w:r>
    </w:p>
    <w:p>
      <w:pPr>
        <w:spacing w:after="140" w:before="0" w:line="300"/>
        <w:jc w:val="left"/>
      </w:pPr>
      <w:r>
        <w:t xml:space="preserve">O Terapia-Arcade acerta em uma ideia que o PsicoPlayKids ainda não implementa: a </w:t>
      </w:r>
      <w:r>
        <w:rPr>
          <w:b/>
          <w:bCs/>
        </w:rPr>
        <w:t xml:space="preserve">barra de registro do profissional durante o jogo</w:t>
      </w:r>
      <w:r>
        <w:t xml:space="preserve">. Enquanto a criança joga, o terapeuta marca o nível de dica daquela tentativa (independente, dica gestual, dica visual, ajuda total), e esse nível é gravado junto com a resposta, o estímulo-alvo, a escolha feita e a latência. Também modela explicitamente uma taxonomia de 16 habilidades-alvo em cinco categorias, uma configuração por sessão (número de tentativas, número de estímulos, tempo-limite, tipo de reforço visual, critério de sucesso) e um resumo de sessão com distribuição de dicas. Essas ideias são herdadas, de forma mais rigorosa, pela tela de aplicação especificada na Seção 10.</w:t>
      </w:r>
    </w:p>
    <w:p>
      <w:pPr>
        <w:pStyle w:val="Heading3"/>
        <w:keepNext/>
      </w:pPr>
      <w:r>
        <w:t xml:space="preserve">Problemas encontrados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3804"/>
        <w:gridCol w:w="3805"/>
      </w:tblGrid>
      <w:tr>
        <w:trPr>
          <w:tblHeader/>
        </w:trPr>
        <w:tc>
          <w:tcPr>
            <w:tcW w:type="dxa" w:w="2029"/>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Problema</w:t>
            </w:r>
          </w:p>
        </w:tc>
        <w:tc>
          <w:tcPr>
            <w:tcW w:type="dxa" w:w="3804"/>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Evidência no código</w:t>
            </w:r>
          </w:p>
        </w:tc>
        <w:tc>
          <w:tcPr>
            <w:tcW w:type="dxa" w:w="3805"/>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Por que importa</w:t>
            </w:r>
          </w:p>
        </w:tc>
      </w:tr>
      <w:tr>
        <w:trPr>
          <w:cantSplit/>
        </w:trPr>
        <w:tc>
          <w:tcPr>
            <w:tcW w:type="dxa" w:w="202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Dados clínicos em </w:t>
            </w:r>
            <w:r>
              <w:rPr>
                <w:rFonts w:ascii="Courier New" w:cs="Courier New" w:eastAsia="Courier New" w:hAnsi="Courier New"/>
                <w:b/>
                <w:bCs/>
                <w:sz w:val="18"/>
                <w:szCs w:val="18"/>
              </w:rPr>
              <w:t xml:space="preserve">localStorage</w:t>
            </w:r>
          </w:p>
        </w:tc>
        <w:tc>
          <w:tcPr>
            <w:tcW w:type="dxa" w:w="380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rFonts w:ascii="Courier New" w:cs="Courier New" w:eastAsia="Courier New" w:hAnsi="Courier New"/>
                <w:b w:val="false"/>
                <w:bCs w:val="false"/>
                <w:sz w:val="18"/>
                <w:szCs w:val="18"/>
              </w:rPr>
              <w:t xml:space="preserve">utils/storage.ts</w:t>
            </w:r>
            <w:r>
              <w:rPr>
                <w:b w:val="false"/>
                <w:bCs w:val="false"/>
                <w:sz w:val="18"/>
                <w:szCs w:val="18"/>
              </w:rPr>
              <w:t xml:space="preserve"> grava aprendizes e sessões nas chaves </w:t>
            </w:r>
            <w:r>
              <w:rPr>
                <w:rFonts w:ascii="Courier New" w:cs="Courier New" w:eastAsia="Courier New" w:hAnsi="Courier New"/>
                <w:b w:val="false"/>
                <w:bCs w:val="false"/>
                <w:sz w:val="18"/>
                <w:szCs w:val="18"/>
              </w:rPr>
              <w:t xml:space="preserve">terapia_arcade_students_v1</w:t>
            </w:r>
            <w:r>
              <w:rPr>
                <w:b w:val="false"/>
                <w:bCs w:val="false"/>
                <w:sz w:val="18"/>
                <w:szCs w:val="18"/>
              </w:rPr>
              <w:t xml:space="preserve"> e </w:t>
            </w:r>
            <w:r>
              <w:rPr>
                <w:rFonts w:ascii="Courier New" w:cs="Courier New" w:eastAsia="Courier New" w:hAnsi="Courier New"/>
                <w:b w:val="false"/>
                <w:bCs w:val="false"/>
                <w:sz w:val="18"/>
                <w:szCs w:val="18"/>
              </w:rPr>
              <w:t xml:space="preserve">terapia_arcade_sessions_v1</w:t>
            </w:r>
          </w:p>
        </w:tc>
        <w:tc>
          <w:tcPr>
            <w:tcW w:type="dxa" w:w="380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Dado de saúde de criança sem autenticação, sem criptografia, acessível a qualquer script da página e perdido ao limpar o navegador.</w:t>
            </w:r>
          </w:p>
        </w:tc>
      </w:tr>
      <w:tr>
        <w:trPr>
          <w:cantSplit/>
        </w:trPr>
        <w:tc>
          <w:tcPr>
            <w:tcW w:type="dxa" w:w="202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Acerto com dica conta como acerto</w:t>
            </w:r>
          </w:p>
        </w:tc>
        <w:tc>
          <w:tcPr>
            <w:tcW w:type="dxa" w:w="3804"/>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rFonts w:ascii="Courier New" w:cs="Courier New" w:eastAsia="Courier New" w:hAnsi="Courier New"/>
                <w:b w:val="false"/>
                <w:bCs w:val="false"/>
                <w:sz w:val="18"/>
                <w:szCs w:val="18"/>
              </w:rPr>
              <w:t xml:space="preserve">GameRunner.tsx</w:t>
            </w:r>
            <w:r>
              <w:rPr>
                <w:b w:val="false"/>
                <w:bCs w:val="false"/>
                <w:sz w:val="18"/>
                <w:szCs w:val="18"/>
              </w:rPr>
              <w:t xml:space="preserve"> incrementa </w:t>
            </w:r>
            <w:r>
              <w:rPr>
                <w:rFonts w:ascii="Courier New" w:cs="Courier New" w:eastAsia="Courier New" w:hAnsi="Courier New"/>
                <w:b w:val="false"/>
                <w:bCs w:val="false"/>
                <w:sz w:val="18"/>
                <w:szCs w:val="18"/>
              </w:rPr>
              <w:t xml:space="preserve">correctCount</w:t>
            </w:r>
            <w:r>
              <w:rPr>
                <w:b w:val="false"/>
                <w:bCs w:val="false"/>
                <w:sz w:val="18"/>
                <w:szCs w:val="18"/>
              </w:rPr>
              <w:t xml:space="preserve"> sempre que </w:t>
            </w:r>
            <w:r>
              <w:rPr>
                <w:rFonts w:ascii="Courier New" w:cs="Courier New" w:eastAsia="Courier New" w:hAnsi="Courier New"/>
                <w:b w:val="false"/>
                <w:bCs w:val="false"/>
                <w:sz w:val="18"/>
                <w:szCs w:val="18"/>
              </w:rPr>
              <w:t xml:space="preserve">isCorrect</w:t>
            </w:r>
            <w:r>
              <w:rPr>
                <w:b w:val="false"/>
                <w:bCs w:val="false"/>
                <w:sz w:val="18"/>
                <w:szCs w:val="18"/>
              </w:rPr>
              <w:t xml:space="preserve"> é verdadeiro, qualquer que seja </w:t>
            </w:r>
            <w:r>
              <w:rPr>
                <w:rFonts w:ascii="Courier New" w:cs="Courier New" w:eastAsia="Courier New" w:hAnsi="Courier New"/>
                <w:b w:val="false"/>
                <w:bCs w:val="false"/>
                <w:sz w:val="18"/>
                <w:szCs w:val="18"/>
              </w:rPr>
              <w:t xml:space="preserve">promptLevel</w:t>
            </w:r>
            <w:r>
              <w:rPr>
                <w:b w:val="false"/>
                <w:bCs w:val="false"/>
                <w:sz w:val="18"/>
                <w:szCs w:val="18"/>
              </w:rPr>
              <w:t xml:space="preserve">; a precisão da sessão é </w:t>
            </w:r>
            <w:r>
              <w:rPr>
                <w:rFonts w:ascii="Courier New" w:cs="Courier New" w:eastAsia="Courier New" w:hAnsi="Courier New"/>
                <w:b w:val="false"/>
                <w:bCs w:val="false"/>
                <w:sz w:val="18"/>
                <w:szCs w:val="18"/>
              </w:rPr>
              <w:t xml:space="preserve">corretas/total</w:t>
            </w:r>
          </w:p>
        </w:tc>
        <w:tc>
          <w:tcPr>
            <w:tcW w:type="dxa" w:w="3805"/>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Uma criança que acerta 10 de 10 com ajuda total aparece com 100% e recebe a etiqueta “Critério atingido”. Em ABA, a medida de aquisição é a resposta correta independente.</w:t>
            </w:r>
          </w:p>
        </w:tc>
      </w:tr>
      <w:tr>
        <w:trPr>
          <w:cantSplit/>
        </w:trPr>
        <w:tc>
          <w:tcPr>
            <w:tcW w:type="dxa" w:w="202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Critério avaliado em uma única sessão</w:t>
            </w:r>
          </w:p>
        </w:tc>
        <w:tc>
          <w:tcPr>
            <w:tcW w:type="dxa" w:w="380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rFonts w:ascii="Courier New" w:cs="Courier New" w:eastAsia="Courier New" w:hAnsi="Courier New"/>
                <w:b w:val="false"/>
                <w:bCs w:val="false"/>
                <w:sz w:val="18"/>
                <w:szCs w:val="18"/>
              </w:rPr>
              <w:t xml:space="preserve">clinicalTags</w:t>
            </w:r>
            <w:r>
              <w:rPr>
                <w:b w:val="false"/>
                <w:bCs w:val="false"/>
                <w:sz w:val="18"/>
                <w:szCs w:val="18"/>
              </w:rPr>
              <w:t xml:space="preserve"> recebe “Critério atingido” se a precisão da sessão alcança </w:t>
            </w:r>
            <w:r>
              <w:rPr>
                <w:rFonts w:ascii="Courier New" w:cs="Courier New" w:eastAsia="Courier New" w:hAnsi="Courier New"/>
                <w:b w:val="false"/>
                <w:bCs w:val="false"/>
                <w:sz w:val="18"/>
                <w:szCs w:val="18"/>
              </w:rPr>
              <w:t xml:space="preserve">successCriteriaPercentage</w:t>
            </w:r>
          </w:p>
        </w:tc>
        <w:tc>
          <w:tcPr>
            <w:tcW w:type="dxa" w:w="380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Critério de domínio tem duas dimensões, nível e frequência de observação (por exemplo, 90% em duas sessões consecutivas). Uma sessão isolada não demonstra domínio.</w:t>
            </w:r>
          </w:p>
        </w:tc>
      </w:tr>
      <w:tr>
        <w:trPr>
          <w:cantSplit/>
        </w:trPr>
        <w:tc>
          <w:tcPr>
            <w:tcW w:type="dxa" w:w="202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Modelo do caso não exclusivo</w:t>
            </w:r>
          </w:p>
        </w:tc>
        <w:tc>
          <w:tcPr>
            <w:tcW w:type="dxa" w:w="3804"/>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rFonts w:ascii="Courier New" w:cs="Courier New" w:eastAsia="Courier New" w:hAnsi="Courier New"/>
                <w:b w:val="false"/>
                <w:bCs w:val="false"/>
                <w:sz w:val="18"/>
                <w:szCs w:val="18"/>
              </w:rPr>
              <w:t xml:space="preserve">programType</w:t>
            </w:r>
            <w:r>
              <w:rPr>
                <w:b w:val="false"/>
                <w:bCs w:val="false"/>
                <w:sz w:val="18"/>
                <w:szCs w:val="18"/>
              </w:rPr>
              <w:t xml:space="preserve"> aceita “ABA”, “Denver (ESDM)”, “Terapia Ocupacional”, “Psicologia”, “Fonoaudiologia” e “Geral”</w:t>
            </w:r>
          </w:p>
        </w:tc>
        <w:tc>
          <w:tcPr>
            <w:tcW w:type="dxa" w:w="3805"/>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Mistura modelo de intervenção com área profissional e não impede casos sem modelo definido.</w:t>
            </w:r>
          </w:p>
        </w:tc>
      </w:tr>
      <w:tr>
        <w:trPr>
          <w:cantSplit/>
        </w:trPr>
        <w:tc>
          <w:tcPr>
            <w:tcW w:type="dxa" w:w="202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Efeito colateral dentro de atualização de estado</w:t>
            </w:r>
          </w:p>
        </w:tc>
        <w:tc>
          <w:tcPr>
            <w:tcW w:type="dxa" w:w="380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O temporizador chama </w:t>
            </w:r>
            <w:r>
              <w:rPr>
                <w:rFonts w:ascii="Courier New" w:cs="Courier New" w:eastAsia="Courier New" w:hAnsi="Courier New"/>
                <w:b w:val="false"/>
                <w:bCs w:val="false"/>
                <w:sz w:val="18"/>
                <w:szCs w:val="18"/>
              </w:rPr>
              <w:t xml:space="preserve">handleCompleteSession()</w:t>
            </w:r>
            <w:r>
              <w:rPr>
                <w:b w:val="false"/>
                <w:bCs w:val="false"/>
                <w:sz w:val="18"/>
                <w:szCs w:val="18"/>
              </w:rPr>
              <w:t xml:space="preserve"> dentro da função passada a </w:t>
            </w:r>
            <w:r>
              <w:rPr>
                <w:rFonts w:ascii="Courier New" w:cs="Courier New" w:eastAsia="Courier New" w:hAnsi="Courier New"/>
                <w:b w:val="false"/>
                <w:bCs w:val="false"/>
                <w:sz w:val="18"/>
                <w:szCs w:val="18"/>
              </w:rPr>
              <w:t xml:space="preserve">setElapsedSeconds</w:t>
            </w:r>
          </w:p>
        </w:tc>
        <w:tc>
          <w:tcPr>
            <w:tcW w:type="dxa" w:w="380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Em modo estrito do React a função pode executar duas vezes, gerando encerramento duplo da sessão.</w:t>
            </w:r>
          </w:p>
        </w:tc>
      </w:tr>
      <w:tr>
        <w:trPr>
          <w:cantSplit/>
        </w:trPr>
        <w:tc>
          <w:tcPr>
            <w:tcW w:type="dxa" w:w="202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Dependências sem uso</w:t>
            </w:r>
          </w:p>
        </w:tc>
        <w:tc>
          <w:tcPr>
            <w:tcW w:type="dxa" w:w="3804"/>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rFonts w:ascii="Courier New" w:cs="Courier New" w:eastAsia="Courier New" w:hAnsi="Courier New"/>
                <w:b w:val="false"/>
                <w:bCs w:val="false"/>
                <w:sz w:val="18"/>
                <w:szCs w:val="18"/>
              </w:rPr>
              <w:t xml:space="preserve">@google/genai</w:t>
            </w:r>
            <w:r>
              <w:rPr>
                <w:b w:val="false"/>
                <w:bCs w:val="false"/>
                <w:sz w:val="18"/>
                <w:szCs w:val="18"/>
              </w:rPr>
              <w:t xml:space="preserve"> e </w:t>
            </w:r>
            <w:r>
              <w:rPr>
                <w:rFonts w:ascii="Courier New" w:cs="Courier New" w:eastAsia="Courier New" w:hAnsi="Courier New"/>
                <w:b w:val="false"/>
                <w:bCs w:val="false"/>
                <w:sz w:val="18"/>
                <w:szCs w:val="18"/>
              </w:rPr>
              <w:t xml:space="preserve">express</w:t>
            </w:r>
            <w:r>
              <w:rPr>
                <w:b w:val="false"/>
                <w:bCs w:val="false"/>
                <w:sz w:val="18"/>
                <w:szCs w:val="18"/>
              </w:rPr>
              <w:t xml:space="preserve"> declarados; metadado anuncia capacidade de IA no servidor; nenhuma chamada no código</w:t>
            </w:r>
          </w:p>
        </w:tc>
        <w:tc>
          <w:tcPr>
            <w:tcW w:type="dxa" w:w="3805"/>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Superfície de ataque e custo sem benefício; chave de API prevista em </w:t>
            </w:r>
            <w:r>
              <w:rPr>
                <w:rFonts w:ascii="Courier New" w:cs="Courier New" w:eastAsia="Courier New" w:hAnsi="Courier New"/>
                <w:b w:val="false"/>
                <w:bCs w:val="false"/>
                <w:sz w:val="18"/>
                <w:szCs w:val="18"/>
              </w:rPr>
              <w:t xml:space="preserve">.env</w:t>
            </w:r>
            <w:r>
              <w:rPr>
                <w:b w:val="false"/>
                <w:bCs w:val="false"/>
                <w:sz w:val="18"/>
                <w:szCs w:val="18"/>
              </w:rPr>
              <w:t xml:space="preserv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A084" w:sz="24"/>
              <w:bottom w:val="none" w:color="FFFFFF" w:sz="0"/>
              <w:right w:val="none" w:color="FFFFFF" w:sz="0"/>
            </w:tcBorders>
            <w:shd w:fill="E8F2EC" w:color="auto" w:val="clear"/>
            <w:tcMar>
              <w:top w:type="dxa" w:w="140"/>
              <w:left w:type="dxa" w:w="220"/>
              <w:bottom w:type="dxa" w:w="120"/>
              <w:right w:type="dxa" w:w="200"/>
            </w:tcMar>
          </w:tcPr>
          <w:p>
            <w:pPr>
              <w:spacing w:after="80"/>
            </w:pPr>
            <w:r>
              <w:rPr>
                <w:b/>
                <w:bCs/>
                <w:color w:val="6BA084"/>
                <w:sz w:val="20"/>
                <w:szCs w:val="20"/>
              </w:rPr>
              <w:t xml:space="preserve">Recomendação para o Terapia-Arcade</w:t>
            </w:r>
          </w:p>
          <w:p>
            <w:pPr>
              <w:spacing w:after="70" w:line="280"/>
            </w:pPr>
            <w:r>
              <w:rPr>
                <w:sz w:val="19"/>
                <w:szCs w:val="19"/>
              </w:rPr>
              <w:t xml:space="preserve">Os sete jogos já foram portados para o PsicoPlayKids (pastas em </w:t>
            </w:r>
            <w:r>
              <w:rPr>
                <w:rFonts w:ascii="Courier New" w:cs="Courier New" w:eastAsia="Courier New" w:hAnsi="Courier New"/>
                <w:sz w:val="19"/>
                <w:szCs w:val="19"/>
              </w:rPr>
              <w:t xml:space="preserve">Games/</w:t>
            </w:r>
            <w:r>
              <w:rPr>
                <w:sz w:val="19"/>
                <w:szCs w:val="19"/>
              </w:rPr>
              <w:t xml:space="preserve"> e migração </w:t>
            </w:r>
            <w:r>
              <w:rPr>
                <w:rFonts w:ascii="Courier New" w:cs="Courier New" w:eastAsia="Courier New" w:hAnsi="Courier New"/>
                <w:sz w:val="19"/>
                <w:szCs w:val="19"/>
              </w:rPr>
              <w:t xml:space="preserve">0035_seed_therapy_arcade_games.sql</w:t>
            </w:r>
            <w:r>
              <w:rPr>
                <w:sz w:val="19"/>
                <w:szCs w:val="19"/>
              </w:rPr>
              <w:t xml:space="preserve">). O repositório serve apenas como </w:t>
            </w:r>
            <w:r>
              <w:rPr>
                <w:b/>
                <w:bCs/>
                <w:sz w:val="19"/>
                <w:szCs w:val="19"/>
              </w:rPr>
              <w:t xml:space="preserve">protótipo de referência</w:t>
            </w:r>
            <w:r>
              <w:rPr>
                <w:sz w:val="19"/>
                <w:szCs w:val="19"/>
              </w:rPr>
              <w:t xml:space="preserve">. O conceito da barra de registro do profissional e a taxonomia de habilidades são herdados por esta especificação, já corrigidos.</w:t>
            </w:r>
          </w:p>
        </w:tc>
      </w:tr>
    </w:tbl>
    <w:p>
      <w:pPr>
        <w:spacing w:after="120"/>
      </w:pPr>
    </w:p>
    <w:p>
      <w:pPr>
        <w:pStyle w:val="Heading2"/>
        <w:keepNext/>
      </w:pPr>
      <w:r>
        <w:t xml:space="preserve">3.2 PsicoPlayKids</w:t>
      </w:r>
    </w:p>
    <w:p>
      <w:pPr>
        <w:pStyle w:val="Heading3"/>
        <w:keepNext/>
      </w:pPr>
      <w:r>
        <w:t xml:space="preserve">Arquitetura encontrada</w:t>
      </w:r>
    </w:p>
    <w:p>
      <w:pPr>
        <w:spacing w:after="140" w:before="0" w:line="300"/>
        <w:jc w:val="left"/>
      </w:pPr>
      <w:r>
        <w:t xml:space="preserve">Monorepo pnpm com Turbo, React 19, Vite 7, TypeScript e Supabase. A estrutura real encontrada é a seguinte: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82"/>
        <w:gridCol w:w="4565"/>
        <w:gridCol w:w="2791"/>
      </w:tblGrid>
      <w:tr>
        <w:trPr>
          <w:tblHeader/>
        </w:trPr>
        <w:tc>
          <w:tcPr>
            <w:tcW w:type="dxa" w:w="2282"/>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Camada</w:t>
            </w:r>
          </w:p>
        </w:tc>
        <w:tc>
          <w:tcPr>
            <w:tcW w:type="dxa" w:w="4565"/>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Conteúdo</w:t>
            </w:r>
          </w:p>
        </w:tc>
        <w:tc>
          <w:tcPr>
            <w:tcW w:type="dxa" w:w="2791"/>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Observação</w:t>
            </w:r>
          </w:p>
        </w:tc>
      </w:tr>
      <w:tr>
        <w:trPr>
          <w:cantSplit/>
        </w:trPr>
        <w:tc>
          <w:tcPr>
            <w:tcW w:type="dxa" w:w="228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Aplicação raiz (</w:t>
            </w:r>
            <w:r>
              <w:rPr>
                <w:rFonts w:ascii="Courier New" w:cs="Courier New" w:eastAsia="Courier New" w:hAnsi="Courier New"/>
                <w:b/>
                <w:bCs/>
                <w:sz w:val="18"/>
                <w:szCs w:val="18"/>
              </w:rPr>
              <w:t xml:space="preserve">src/</w:t>
            </w:r>
            <w:r>
              <w:rPr>
                <w:b/>
                <w:bCs/>
                <w:sz w:val="18"/>
                <w:szCs w:val="18"/>
              </w:rPr>
              <w:t xml:space="preserve">)</w:t>
            </w:r>
          </w:p>
        </w:tc>
        <w:tc>
          <w:tcPr>
            <w:tcW w:type="dxa" w:w="456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Roteador principal, páginas de design (portal infantil, portal profissional, login), features de autenticação, crianças, sessões, atividades, gerenciador de jogos, landing com questionário de triagem</w:t>
            </w:r>
          </w:p>
        </w:tc>
        <w:tc>
          <w:tcPr>
            <w:tcW w:type="dxa" w:w="279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Coexiste com </w:t>
            </w:r>
            <w:r>
              <w:rPr>
                <w:rFonts w:ascii="Courier New" w:cs="Courier New" w:eastAsia="Courier New" w:hAnsi="Courier New"/>
                <w:b w:val="false"/>
                <w:bCs w:val="false"/>
                <w:sz w:val="18"/>
                <w:szCs w:val="18"/>
              </w:rPr>
              <w:t xml:space="preserve">apps/*</w:t>
            </w:r>
            <w:r>
              <w:rPr>
                <w:b w:val="false"/>
                <w:bCs w:val="false"/>
                <w:sz w:val="18"/>
                <w:szCs w:val="18"/>
              </w:rPr>
              <w:t xml:space="preserve"> e diverge deles (ver lacuna L1)</w:t>
            </w:r>
          </w:p>
        </w:tc>
      </w:tr>
      <w:tr>
        <w:trPr>
          <w:cantSplit/>
        </w:trPr>
        <w:tc>
          <w:tcPr>
            <w:tcW w:type="dxa" w:w="228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rFonts w:ascii="Courier New" w:cs="Courier New" w:eastAsia="Courier New" w:hAnsi="Courier New"/>
                <w:b/>
                <w:bCs/>
                <w:sz w:val="18"/>
                <w:szCs w:val="18"/>
              </w:rPr>
              <w:t xml:space="preserve">apps/launcher</w:t>
            </w:r>
            <w:r>
              <w:rPr>
                <w:b/>
                <w:bCs/>
                <w:sz w:val="18"/>
                <w:szCs w:val="18"/>
              </w:rPr>
              <w:t xml:space="preserve">, </w:t>
            </w:r>
            <w:r>
              <w:rPr>
                <w:rFonts w:ascii="Courier New" w:cs="Courier New" w:eastAsia="Courier New" w:hAnsi="Courier New"/>
                <w:b/>
                <w:bCs/>
                <w:sz w:val="18"/>
                <w:szCs w:val="18"/>
              </w:rPr>
              <w:t xml:space="preserve">apps/child-portal</w:t>
            </w:r>
            <w:r>
              <w:rPr>
                <w:b/>
                <w:bCs/>
                <w:sz w:val="18"/>
                <w:szCs w:val="18"/>
              </w:rPr>
              <w:t xml:space="preserve">, </w:t>
            </w:r>
            <w:r>
              <w:rPr>
                <w:rFonts w:ascii="Courier New" w:cs="Courier New" w:eastAsia="Courier New" w:hAnsi="Courier New"/>
                <w:b/>
                <w:bCs/>
                <w:sz w:val="18"/>
                <w:szCs w:val="18"/>
              </w:rPr>
              <w:t xml:space="preserve">apps/psicologist-portal</w:t>
            </w:r>
          </w:p>
        </w:tc>
        <w:tc>
          <w:tcPr>
            <w:tcW w:type="dxa" w:w="4565"/>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Versões anteriores dos três portais</w:t>
            </w:r>
          </w:p>
        </w:tc>
        <w:tc>
          <w:tcPr>
            <w:tcW w:type="dxa" w:w="2791"/>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O </w:t>
            </w:r>
            <w:r>
              <w:rPr>
                <w:rFonts w:ascii="Courier New" w:cs="Courier New" w:eastAsia="Courier New" w:hAnsi="Courier New"/>
                <w:b w:val="false"/>
                <w:bCs w:val="false"/>
                <w:sz w:val="18"/>
                <w:szCs w:val="18"/>
              </w:rPr>
              <w:t xml:space="preserve">PROJECT_STATUS.md</w:t>
            </w:r>
            <w:r>
              <w:rPr>
                <w:b w:val="false"/>
                <w:bCs w:val="false"/>
                <w:sz w:val="18"/>
                <w:szCs w:val="18"/>
              </w:rPr>
              <w:t xml:space="preserve"> cita também </w:t>
            </w:r>
            <w:r>
              <w:rPr>
                <w:rFonts w:ascii="Courier New" w:cs="Courier New" w:eastAsia="Courier New" w:hAnsi="Courier New"/>
                <w:b w:val="false"/>
                <w:bCs w:val="false"/>
                <w:sz w:val="18"/>
                <w:szCs w:val="18"/>
              </w:rPr>
              <w:t xml:space="preserve">apps/pequeno-chef-isolated</w:t>
            </w:r>
            <w:r>
              <w:rPr>
                <w:b w:val="false"/>
                <w:bCs w:val="false"/>
                <w:sz w:val="18"/>
                <w:szCs w:val="18"/>
              </w:rPr>
              <w:t xml:space="preserve">, que não existe no repositório</w:t>
            </w:r>
          </w:p>
        </w:tc>
      </w:tr>
      <w:tr>
        <w:trPr>
          <w:cantSplit/>
        </w:trPr>
        <w:tc>
          <w:tcPr>
            <w:tcW w:type="dxa" w:w="228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rFonts w:ascii="Courier New" w:cs="Courier New" w:eastAsia="Courier New" w:hAnsi="Courier New"/>
                <w:b/>
                <w:bCs/>
                <w:sz w:val="18"/>
                <w:szCs w:val="18"/>
              </w:rPr>
              <w:t xml:space="preserve">packages/</w:t>
            </w:r>
            <w:r>
              <w:rPr>
                <w:b/>
                <w:bCs/>
                <w:sz w:val="18"/>
                <w:szCs w:val="18"/>
              </w:rPr>
              <w:t xml:space="preserve"> (9 pacotes)</w:t>
            </w:r>
          </w:p>
        </w:tc>
        <w:tc>
          <w:tcPr>
            <w:tcW w:type="dxa" w:w="456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rFonts w:ascii="Courier New" w:cs="Courier New" w:eastAsia="Courier New" w:hAnsi="Courier New"/>
                <w:b w:val="false"/>
                <w:bCs w:val="false"/>
                <w:sz w:val="18"/>
                <w:szCs w:val="18"/>
              </w:rPr>
              <w:t xml:space="preserve">sdk</w:t>
            </w:r>
            <w:r>
              <w:rPr>
                <w:b w:val="false"/>
                <w:bCs w:val="false"/>
                <w:sz w:val="18"/>
                <w:szCs w:val="18"/>
              </w:rPr>
              <w:t xml:space="preserve">, </w:t>
            </w:r>
            <w:r>
              <w:rPr>
                <w:rFonts w:ascii="Courier New" w:cs="Courier New" w:eastAsia="Courier New" w:hAnsi="Courier New"/>
                <w:b w:val="false"/>
                <w:bCs w:val="false"/>
                <w:sz w:val="18"/>
                <w:szCs w:val="18"/>
              </w:rPr>
              <w:t xml:space="preserve">protocol</w:t>
            </w:r>
            <w:r>
              <w:rPr>
                <w:b w:val="false"/>
                <w:bCs w:val="false"/>
                <w:sz w:val="18"/>
                <w:szCs w:val="18"/>
              </w:rPr>
              <w:t xml:space="preserve">, </w:t>
            </w:r>
            <w:r>
              <w:rPr>
                <w:rFonts w:ascii="Courier New" w:cs="Courier New" w:eastAsia="Courier New" w:hAnsi="Courier New"/>
                <w:b w:val="false"/>
                <w:bCs w:val="false"/>
                <w:sz w:val="18"/>
                <w:szCs w:val="18"/>
              </w:rPr>
              <w:t xml:space="preserve">session-engine</w:t>
            </w:r>
            <w:r>
              <w:rPr>
                <w:b w:val="false"/>
                <w:bCs w:val="false"/>
                <w:sz w:val="18"/>
                <w:szCs w:val="18"/>
              </w:rPr>
              <w:t xml:space="preserve">, </w:t>
            </w:r>
            <w:r>
              <w:rPr>
                <w:rFonts w:ascii="Courier New" w:cs="Courier New" w:eastAsia="Courier New" w:hAnsi="Courier New"/>
                <w:b w:val="false"/>
                <w:bCs w:val="false"/>
                <w:sz w:val="18"/>
                <w:szCs w:val="18"/>
              </w:rPr>
              <w:t xml:space="preserve">game-window</w:t>
            </w:r>
            <w:r>
              <w:rPr>
                <w:b w:val="false"/>
                <w:bCs w:val="false"/>
                <w:sz w:val="18"/>
                <w:szCs w:val="18"/>
              </w:rPr>
              <w:t xml:space="preserve">, </w:t>
            </w:r>
            <w:r>
              <w:rPr>
                <w:rFonts w:ascii="Courier New" w:cs="Courier New" w:eastAsia="Courier New" w:hAnsi="Courier New"/>
                <w:b w:val="false"/>
                <w:bCs w:val="false"/>
                <w:sz w:val="18"/>
                <w:szCs w:val="18"/>
              </w:rPr>
              <w:t xml:space="preserve">mobile-foundation</w:t>
            </w:r>
            <w:r>
              <w:rPr>
                <w:b w:val="false"/>
                <w:bCs w:val="false"/>
                <w:sz w:val="18"/>
                <w:szCs w:val="18"/>
              </w:rPr>
              <w:t xml:space="preserve">, </w:t>
            </w:r>
            <w:r>
              <w:rPr>
                <w:rFonts w:ascii="Courier New" w:cs="Courier New" w:eastAsia="Courier New" w:hAnsi="Courier New"/>
                <w:b w:val="false"/>
                <w:bCs w:val="false"/>
                <w:sz w:val="18"/>
                <w:szCs w:val="18"/>
              </w:rPr>
              <w:t xml:space="preserve">clinical-types</w:t>
            </w:r>
            <w:r>
              <w:rPr>
                <w:b w:val="false"/>
                <w:bCs w:val="false"/>
                <w:sz w:val="18"/>
                <w:szCs w:val="18"/>
              </w:rPr>
              <w:t xml:space="preserve">, </w:t>
            </w:r>
            <w:r>
              <w:rPr>
                <w:rFonts w:ascii="Courier New" w:cs="Courier New" w:eastAsia="Courier New" w:hAnsi="Courier New"/>
                <w:b w:val="false"/>
                <w:bCs w:val="false"/>
                <w:sz w:val="18"/>
                <w:szCs w:val="18"/>
              </w:rPr>
              <w:t xml:space="preserve">data-aggregator</w:t>
            </w:r>
            <w:r>
              <w:rPr>
                <w:b w:val="false"/>
                <w:bCs w:val="false"/>
                <w:sz w:val="18"/>
                <w:szCs w:val="18"/>
              </w:rPr>
              <w:t xml:space="preserve">, </w:t>
            </w:r>
            <w:r>
              <w:rPr>
                <w:rFonts w:ascii="Courier New" w:cs="Courier New" w:eastAsia="Courier New" w:hAnsi="Courier New"/>
                <w:b w:val="false"/>
                <w:bCs w:val="false"/>
                <w:sz w:val="18"/>
                <w:szCs w:val="18"/>
              </w:rPr>
              <w:t xml:space="preserve">design-system</w:t>
            </w:r>
            <w:r>
              <w:rPr>
                <w:b w:val="false"/>
                <w:bCs w:val="false"/>
                <w:sz w:val="18"/>
                <w:szCs w:val="18"/>
              </w:rPr>
              <w:t xml:space="preserve">, </w:t>
            </w:r>
            <w:r>
              <w:rPr>
                <w:rFonts w:ascii="Courier New" w:cs="Courier New" w:eastAsia="Courier New" w:hAnsi="Courier New"/>
                <w:b w:val="false"/>
                <w:bCs w:val="false"/>
                <w:sz w:val="18"/>
                <w:szCs w:val="18"/>
              </w:rPr>
              <w:t xml:space="preserve">ui-components</w:t>
            </w:r>
          </w:p>
        </w:tc>
        <w:tc>
          <w:tcPr>
            <w:tcW w:type="dxa" w:w="279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A documentação cita 10 pacotes, incluindo </w:t>
            </w:r>
            <w:r>
              <w:rPr>
                <w:rFonts w:ascii="Courier New" w:cs="Courier New" w:eastAsia="Courier New" w:hAnsi="Courier New"/>
                <w:b w:val="false"/>
                <w:bCs w:val="false"/>
                <w:sz w:val="18"/>
                <w:szCs w:val="18"/>
              </w:rPr>
              <w:t xml:space="preserve">api-client</w:t>
            </w:r>
            <w:r>
              <w:rPr>
                <w:b w:val="false"/>
                <w:bCs w:val="false"/>
                <w:sz w:val="18"/>
                <w:szCs w:val="18"/>
              </w:rPr>
              <w:t xml:space="preserve">, inexistente</w:t>
            </w:r>
          </w:p>
        </w:tc>
      </w:tr>
      <w:tr>
        <w:trPr>
          <w:cantSplit/>
        </w:trPr>
        <w:tc>
          <w:tcPr>
            <w:tcW w:type="dxa" w:w="228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rFonts w:ascii="Courier New" w:cs="Courier New" w:eastAsia="Courier New" w:hAnsi="Courier New"/>
                <w:b/>
                <w:bCs/>
                <w:sz w:val="18"/>
                <w:szCs w:val="18"/>
              </w:rPr>
              <w:t xml:space="preserve">Games/</w:t>
            </w:r>
            <w:r>
              <w:rPr>
                <w:b/>
                <w:bCs/>
                <w:sz w:val="18"/>
                <w:szCs w:val="18"/>
              </w:rPr>
              <w:t xml:space="preserve"> (25 pastas)</w:t>
            </w:r>
          </w:p>
        </w:tc>
        <w:tc>
          <w:tcPr>
            <w:tcW w:type="dxa" w:w="4565"/>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Cada jogo é uma SPA Vite independente que conversa com o hospedeiro via SDK por </w:t>
            </w:r>
            <w:r>
              <w:rPr>
                <w:rFonts w:ascii="Courier New" w:cs="Courier New" w:eastAsia="Courier New" w:hAnsi="Courier New"/>
                <w:b w:val="false"/>
                <w:bCs w:val="false"/>
                <w:sz w:val="18"/>
                <w:szCs w:val="18"/>
              </w:rPr>
              <w:t xml:space="preserve">postMessage</w:t>
            </w:r>
          </w:p>
        </w:tc>
        <w:tc>
          <w:tcPr>
            <w:tcW w:type="dxa" w:w="2791"/>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A documentação cita 24 e, em outro arquivo, 23 jogos</w:t>
            </w:r>
          </w:p>
        </w:tc>
      </w:tr>
      <w:tr>
        <w:trPr>
          <w:cantSplit/>
        </w:trPr>
        <w:tc>
          <w:tcPr>
            <w:tcW w:type="dxa" w:w="228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rFonts w:ascii="Courier New" w:cs="Courier New" w:eastAsia="Courier New" w:hAnsi="Courier New"/>
                <w:b/>
                <w:bCs/>
                <w:sz w:val="18"/>
                <w:szCs w:val="18"/>
              </w:rPr>
              <w:t xml:space="preserve">supabase/</w:t>
            </w:r>
            <w:r>
              <w:rPr>
                <w:b/>
                <w:bCs/>
                <w:sz w:val="18"/>
                <w:szCs w:val="18"/>
              </w:rPr>
              <w:t xml:space="preserve"> (36 migrações, 5 testes pgTAP)</w:t>
            </w:r>
          </w:p>
        </w:tc>
        <w:tc>
          <w:tcPr>
            <w:tcW w:type="dxa" w:w="456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Organizações, vínculos, crianças, sessões, módulos, execuções de atividade, sessões infantis com token, eventos clínicos, pontuação de instrumentos e de jogos, adaptações por sessão</w:t>
            </w:r>
          </w:p>
        </w:tc>
        <w:tc>
          <w:tcPr>
            <w:tcW w:type="dxa" w:w="279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Fundação sólida (ver 3.2.1)</w:t>
            </w:r>
          </w:p>
        </w:tc>
      </w:tr>
    </w:tbl>
    <w:p>
      <w:pPr>
        <w:spacing w:after="120"/>
      </w:pPr>
    </w:p>
    <w:p>
      <w:pPr>
        <w:pStyle w:val="Heading3"/>
        <w:keepNext/>
      </w:pPr>
      <w:r>
        <w:t xml:space="preserve">3.2.1 Acertos a herdar como padrão de projeto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4311"/>
        <w:gridCol w:w="3298"/>
      </w:tblGrid>
      <w:tr>
        <w:trPr>
          <w:tblHeader/>
        </w:trPr>
        <w:tc>
          <w:tcPr>
            <w:tcW w:type="dxa" w:w="2029"/>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Elemento</w:t>
            </w:r>
          </w:p>
        </w:tc>
        <w:tc>
          <w:tcPr>
            <w:tcW w:type="dxa" w:w="4311"/>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Implementação atual</w:t>
            </w:r>
          </w:p>
        </w:tc>
        <w:tc>
          <w:tcPr>
            <w:tcW w:type="dxa" w:w="3298"/>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Valor para a plataforma</w:t>
            </w:r>
          </w:p>
        </w:tc>
      </w:tr>
      <w:tr>
        <w:trPr>
          <w:cantSplit/>
        </w:trPr>
        <w:tc>
          <w:tcPr>
            <w:tcW w:type="dxa" w:w="202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Isolamento por organização</w:t>
            </w:r>
          </w:p>
        </w:tc>
        <w:tc>
          <w:tcPr>
            <w:tcW w:type="dxa" w:w="431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RLS em todas as tabelas clínicas, função </w:t>
            </w:r>
            <w:r>
              <w:rPr>
                <w:rFonts w:ascii="Courier New" w:cs="Courier New" w:eastAsia="Courier New" w:hAnsi="Courier New"/>
                <w:b w:val="false"/>
                <w:bCs w:val="false"/>
                <w:sz w:val="18"/>
                <w:szCs w:val="18"/>
              </w:rPr>
              <w:t xml:space="preserve">owns_child</w:t>
            </w:r>
            <w:r>
              <w:rPr>
                <w:b w:val="false"/>
                <w:bCs w:val="false"/>
                <w:sz w:val="18"/>
                <w:szCs w:val="18"/>
              </w:rPr>
              <w:t xml:space="preserve">, vínculos </w:t>
            </w:r>
            <w:r>
              <w:rPr>
                <w:rFonts w:ascii="Courier New" w:cs="Courier New" w:eastAsia="Courier New" w:hAnsi="Courier New"/>
                <w:b w:val="false"/>
                <w:bCs w:val="false"/>
                <w:sz w:val="18"/>
                <w:szCs w:val="18"/>
              </w:rPr>
              <w:t xml:space="preserve">professional_child_assignments</w:t>
            </w:r>
            <w:r>
              <w:rPr>
                <w:b w:val="false"/>
                <w:bCs w:val="false"/>
                <w:sz w:val="18"/>
                <w:szCs w:val="18"/>
              </w:rPr>
              <w:t xml:space="preserve"> com permissões granulares (</w:t>
            </w:r>
            <w:r>
              <w:rPr>
                <w:rFonts w:ascii="Courier New" w:cs="Courier New" w:eastAsia="Courier New" w:hAnsi="Courier New"/>
                <w:b w:val="false"/>
                <w:bCs w:val="false"/>
                <w:sz w:val="18"/>
                <w:szCs w:val="18"/>
              </w:rPr>
              <w:t xml:space="preserve">can_view</w:t>
            </w:r>
            <w:r>
              <w:rPr>
                <w:b w:val="false"/>
                <w:bCs w:val="false"/>
                <w:sz w:val="18"/>
                <w:szCs w:val="18"/>
              </w:rPr>
              <w:t xml:space="preserve">, </w:t>
            </w:r>
            <w:r>
              <w:rPr>
                <w:rFonts w:ascii="Courier New" w:cs="Courier New" w:eastAsia="Courier New" w:hAnsi="Courier New"/>
                <w:b w:val="false"/>
                <w:bCs w:val="false"/>
                <w:sz w:val="18"/>
                <w:szCs w:val="18"/>
              </w:rPr>
              <w:t xml:space="preserve">can_start_session</w:t>
            </w:r>
            <w:r>
              <w:rPr>
                <w:b w:val="false"/>
                <w:bCs w:val="false"/>
                <w:sz w:val="18"/>
                <w:szCs w:val="18"/>
              </w:rPr>
              <w:t xml:space="preserve">, </w:t>
            </w:r>
            <w:r>
              <w:rPr>
                <w:rFonts w:ascii="Courier New" w:cs="Courier New" w:eastAsia="Courier New" w:hAnsi="Courier New"/>
                <w:b w:val="false"/>
                <w:bCs w:val="false"/>
                <w:sz w:val="18"/>
                <w:szCs w:val="18"/>
              </w:rPr>
              <w:t xml:space="preserve">can_view_history</w:t>
            </w:r>
            <w:r>
              <w:rPr>
                <w:b w:val="false"/>
                <w:bCs w:val="false"/>
                <w:sz w:val="18"/>
                <w:szCs w:val="18"/>
              </w:rPr>
              <w:t xml:space="preserve">, </w:t>
            </w:r>
            <w:r>
              <w:rPr>
                <w:rFonts w:ascii="Courier New" w:cs="Courier New" w:eastAsia="Courier New" w:hAnsi="Courier New"/>
                <w:b w:val="false"/>
                <w:bCs w:val="false"/>
                <w:sz w:val="18"/>
                <w:szCs w:val="18"/>
              </w:rPr>
              <w:t xml:space="preserve">can_manage_presets</w:t>
            </w:r>
            <w:r>
              <w:rPr>
                <w:b w:val="false"/>
                <w:bCs w:val="false"/>
                <w:sz w:val="18"/>
                <w:szCs w:val="18"/>
              </w:rPr>
              <w:t xml:space="preserve">), testes pgTAP de isolamento cruzado</w:t>
            </w:r>
          </w:p>
        </w:tc>
        <w:tc>
          <w:tcPr>
            <w:tcW w:type="dxa" w:w="329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Padrão adotado no controle de acesso por vínculo da Seção 7</w:t>
            </w:r>
          </w:p>
        </w:tc>
      </w:tr>
      <w:tr>
        <w:trPr>
          <w:cantSplit/>
        </w:trPr>
        <w:tc>
          <w:tcPr>
            <w:tcW w:type="dxa" w:w="202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Registro clínico imutável</w:t>
            </w:r>
          </w:p>
        </w:tc>
        <w:tc>
          <w:tcPr>
            <w:tcW w:type="dxa" w:w="4311"/>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rFonts w:ascii="Courier New" w:cs="Courier New" w:eastAsia="Courier New" w:hAnsi="Courier New"/>
                <w:b w:val="false"/>
                <w:bCs w:val="false"/>
                <w:sz w:val="18"/>
                <w:szCs w:val="18"/>
              </w:rPr>
              <w:t xml:space="preserve">clinical_events</w:t>
            </w:r>
            <w:r>
              <w:rPr>
                <w:b w:val="false"/>
                <w:bCs w:val="false"/>
                <w:sz w:val="18"/>
                <w:szCs w:val="18"/>
              </w:rPr>
              <w:t xml:space="preserve"> com gatilho que bloqueia UPDATE e DELETE para qualquer papel; correções vão para notas, não para reescrita</w:t>
            </w:r>
          </w:p>
        </w:tc>
        <w:tc>
          <w:tcPr>
            <w:tcW w:type="dxa" w:w="329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Atende ao caráter de prova do registro documental exigido pelo CFP</w:t>
            </w:r>
          </w:p>
        </w:tc>
      </w:tr>
      <w:tr>
        <w:trPr>
          <w:cantSplit/>
        </w:trPr>
        <w:tc>
          <w:tcPr>
            <w:tcW w:type="dxa" w:w="202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Idempotência de ingestão</w:t>
            </w:r>
          </w:p>
        </w:tc>
        <w:tc>
          <w:tcPr>
            <w:tcW w:type="dxa" w:w="431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Chave única </w:t>
            </w:r>
            <w:r>
              <w:rPr>
                <w:rFonts w:ascii="Courier New" w:cs="Courier New" w:eastAsia="Courier New" w:hAnsi="Courier New"/>
                <w:b w:val="false"/>
                <w:bCs w:val="false"/>
                <w:sz w:val="18"/>
                <w:szCs w:val="18"/>
              </w:rPr>
              <w:t xml:space="preserve">(activity_run_id, event_id)</w:t>
            </w:r>
            <w:r>
              <w:rPr>
                <w:b w:val="false"/>
                <w:bCs w:val="false"/>
                <w:sz w:val="18"/>
                <w:szCs w:val="18"/>
              </w:rPr>
              <w:t xml:space="preserve"> e </w:t>
            </w:r>
            <w:r>
              <w:rPr>
                <w:rFonts w:ascii="Courier New" w:cs="Courier New" w:eastAsia="Courier New" w:hAnsi="Courier New"/>
                <w:b w:val="false"/>
                <w:bCs w:val="false"/>
                <w:sz w:val="18"/>
                <w:szCs w:val="18"/>
              </w:rPr>
              <w:t xml:space="preserve">on conflict do nothing</w:t>
            </w:r>
            <w:r>
              <w:rPr>
                <w:b w:val="false"/>
                <w:bCs w:val="false"/>
                <w:sz w:val="18"/>
                <w:szCs w:val="18"/>
              </w:rPr>
              <w:t xml:space="preserve">; inserção em lote em uma única chamada</w:t>
            </w:r>
          </w:p>
        </w:tc>
        <w:tc>
          <w:tcPr>
            <w:tcW w:type="dxa" w:w="329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Permite reenvio seguro em redes instáveis, essencial em tablet</w:t>
            </w:r>
          </w:p>
        </w:tc>
      </w:tr>
      <w:tr>
        <w:trPr>
          <w:cantSplit/>
        </w:trPr>
        <w:tc>
          <w:tcPr>
            <w:tcW w:type="dxa" w:w="202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Pontuação no servidor</w:t>
            </w:r>
          </w:p>
        </w:tc>
        <w:tc>
          <w:tcPr>
            <w:tcW w:type="dxa" w:w="4311"/>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Jogos enviam o que aconteceu (passos, dicas, tempo); a pontuação é recalculada a partir do manifesto fixado na versão (</w:t>
            </w:r>
            <w:r>
              <w:rPr>
                <w:rFonts w:ascii="Courier New" w:cs="Courier New" w:eastAsia="Courier New" w:hAnsi="Courier New"/>
                <w:b w:val="false"/>
                <w:bCs w:val="false"/>
                <w:sz w:val="18"/>
                <w:szCs w:val="18"/>
              </w:rPr>
              <w:t xml:space="preserve">compute_game_mission_score_v1</w:t>
            </w:r>
            <w:r>
              <w:rPr>
                <w:b w:val="false"/>
                <w:bCs w:val="false"/>
                <w:sz w:val="18"/>
                <w:szCs w:val="18"/>
              </w:rPr>
              <w:t xml:space="preserve">)</w:t>
            </w:r>
          </w:p>
        </w:tc>
        <w:tc>
          <w:tcPr>
            <w:tcW w:type="dxa" w:w="329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Impede que o cliente informe um resultado clínico que não mediu</w:t>
            </w:r>
          </w:p>
        </w:tc>
      </w:tr>
      <w:tr>
        <w:trPr>
          <w:cantSplit/>
        </w:trPr>
        <w:tc>
          <w:tcPr>
            <w:tcW w:type="dxa" w:w="202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Sessão infantil sem credencial</w:t>
            </w:r>
          </w:p>
        </w:tc>
        <w:tc>
          <w:tcPr>
            <w:tcW w:type="dxa" w:w="431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Token aleatório de 32 bytes, armazenado como hash, validade máxima de 24 horas, revogável, criado apenas por profissional vinculado</w:t>
            </w:r>
          </w:p>
        </w:tc>
        <w:tc>
          <w:tcPr>
            <w:tcW w:type="dxa" w:w="329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A criança não tem senha nem conta; o acesso é delegado e temporário</w:t>
            </w:r>
          </w:p>
        </w:tc>
      </w:tr>
      <w:tr>
        <w:trPr>
          <w:cantSplit/>
        </w:trPr>
        <w:tc>
          <w:tcPr>
            <w:tcW w:type="dxa" w:w="202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Recusa silenciosa</w:t>
            </w:r>
          </w:p>
        </w:tc>
        <w:tc>
          <w:tcPr>
            <w:tcW w:type="dxa" w:w="4311"/>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Token inválido, expirado ou de outra criança retorna zero, sem mensagem de erro</w:t>
            </w:r>
          </w:p>
        </w:tc>
        <w:tc>
          <w:tcPr>
            <w:tcW w:type="dxa" w:w="329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A criança nunca vê erro de autorização no meio da atividade; o endpoint não serve de oráculo</w:t>
            </w:r>
          </w:p>
        </w:tc>
      </w:tr>
      <w:tr>
        <w:trPr>
          <w:cantSplit/>
        </w:trPr>
        <w:tc>
          <w:tcPr>
            <w:tcW w:type="dxa" w:w="202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Contrato hospedeiro-jogo</w:t>
            </w:r>
          </w:p>
        </w:tc>
        <w:tc>
          <w:tcPr>
            <w:tcW w:type="dxa" w:w="431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Protocolo versionado (</w:t>
            </w:r>
            <w:r>
              <w:rPr>
                <w:rFonts w:ascii="Courier New" w:cs="Courier New" w:eastAsia="Courier New" w:hAnsi="Courier New"/>
                <w:b w:val="false"/>
                <w:bCs w:val="false"/>
                <w:sz w:val="18"/>
                <w:szCs w:val="18"/>
              </w:rPr>
              <w:t xml:space="preserve">PROTOCOL_VERSION 1.0.0</w:t>
            </w:r>
            <w:r>
              <w:rPr>
                <w:b w:val="false"/>
                <w:bCs w:val="false"/>
                <w:sz w:val="18"/>
                <w:szCs w:val="18"/>
              </w:rPr>
              <w:t xml:space="preserve">), envelope com </w:t>
            </w:r>
            <w:r>
              <w:rPr>
                <w:rFonts w:ascii="Courier New" w:cs="Courier New" w:eastAsia="Courier New" w:hAnsi="Courier New"/>
                <w:b w:val="false"/>
                <w:bCs w:val="false"/>
                <w:sz w:val="18"/>
                <w:szCs w:val="18"/>
              </w:rPr>
              <w:t xml:space="preserve">eventId</w:t>
            </w:r>
            <w:r>
              <w:rPr>
                <w:b w:val="false"/>
                <w:bCs w:val="false"/>
                <w:sz w:val="18"/>
                <w:szCs w:val="18"/>
              </w:rPr>
              <w:t xml:space="preserve">, </w:t>
            </w:r>
            <w:r>
              <w:rPr>
                <w:rFonts w:ascii="Courier New" w:cs="Courier New" w:eastAsia="Courier New" w:hAnsi="Courier New"/>
                <w:b w:val="false"/>
                <w:bCs w:val="false"/>
                <w:sz w:val="18"/>
                <w:szCs w:val="18"/>
              </w:rPr>
              <w:t xml:space="preserve">sequence</w:t>
            </w:r>
            <w:r>
              <w:rPr>
                <w:b w:val="false"/>
                <w:bCs w:val="false"/>
                <w:sz w:val="18"/>
                <w:szCs w:val="18"/>
              </w:rPr>
              <w:t xml:space="preserve">, </w:t>
            </w:r>
            <w:r>
              <w:rPr>
                <w:rFonts w:ascii="Courier New" w:cs="Courier New" w:eastAsia="Courier New" w:hAnsi="Courier New"/>
                <w:b w:val="false"/>
                <w:bCs w:val="false"/>
                <w:sz w:val="18"/>
                <w:szCs w:val="18"/>
              </w:rPr>
              <w:t xml:space="preserve">runId</w:t>
            </w:r>
            <w:r>
              <w:rPr>
                <w:b w:val="false"/>
                <w:bCs w:val="false"/>
                <w:sz w:val="18"/>
                <w:szCs w:val="18"/>
              </w:rPr>
              <w:t xml:space="preserve">, </w:t>
            </w:r>
            <w:r>
              <w:rPr>
                <w:rFonts w:ascii="Courier New" w:cs="Courier New" w:eastAsia="Courier New" w:hAnsi="Courier New"/>
                <w:b w:val="false"/>
                <w:bCs w:val="false"/>
                <w:sz w:val="18"/>
                <w:szCs w:val="18"/>
              </w:rPr>
              <w:t xml:space="preserve">occurredAt</w:t>
            </w:r>
            <w:r>
              <w:rPr>
                <w:b w:val="false"/>
                <w:bCs w:val="false"/>
                <w:sz w:val="18"/>
                <w:szCs w:val="18"/>
              </w:rPr>
              <w:t xml:space="preserve">, comandos de pausa, retomada e saída</w:t>
            </w:r>
          </w:p>
        </w:tc>
        <w:tc>
          <w:tcPr>
            <w:tcW w:type="dxa" w:w="329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Referência para o protocolo de eventos da Seção 8</w:t>
            </w:r>
          </w:p>
        </w:tc>
      </w:tr>
      <w:tr>
        <w:trPr>
          <w:cantSplit/>
        </w:trPr>
        <w:tc>
          <w:tcPr>
            <w:tcW w:type="dxa" w:w="202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Modelo de ameaças vivo</w:t>
            </w:r>
          </w:p>
        </w:tc>
        <w:tc>
          <w:tcPr>
            <w:tcW w:type="dxa" w:w="4311"/>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rFonts w:ascii="Courier New" w:cs="Courier New" w:eastAsia="Courier New" w:hAnsi="Courier New"/>
                <w:b w:val="false"/>
                <w:bCs w:val="false"/>
                <w:sz w:val="18"/>
                <w:szCs w:val="18"/>
              </w:rPr>
              <w:t xml:space="preserve">docs/security/threat-model.md</w:t>
            </w:r>
            <w:r>
              <w:rPr>
                <w:b w:val="false"/>
                <w:bCs w:val="false"/>
                <w:sz w:val="18"/>
                <w:szCs w:val="18"/>
              </w:rPr>
              <w:t xml:space="preserve"> com 8 ameaças, controle e teste para cada uma</w:t>
            </w:r>
          </w:p>
        </w:tc>
        <w:tc>
          <w:tcPr>
            <w:tcW w:type="dxa" w:w="329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Modelo a reproduzir, ampliado para dados clínicos e de família</w:t>
            </w:r>
          </w:p>
        </w:tc>
      </w:tr>
      <w:tr>
        <w:trPr>
          <w:cantSplit/>
        </w:trPr>
        <w:tc>
          <w:tcPr>
            <w:tcW w:type="dxa" w:w="202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Utilitários de jogo</w:t>
            </w:r>
          </w:p>
        </w:tc>
        <w:tc>
          <w:tcPr>
            <w:tcW w:type="dxa" w:w="431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rFonts w:ascii="Courier New" w:cs="Courier New" w:eastAsia="Courier New" w:hAnsi="Courier New"/>
                <w:b w:val="false"/>
                <w:bCs w:val="false"/>
                <w:sz w:val="18"/>
                <w:szCs w:val="18"/>
              </w:rPr>
              <w:t xml:space="preserve">gameRuntime.ts</w:t>
            </w:r>
            <w:r>
              <w:rPr>
                <w:b w:val="false"/>
                <w:bCs w:val="false"/>
                <w:sz w:val="18"/>
                <w:szCs w:val="18"/>
              </w:rPr>
              <w:t xml:space="preserve"> com coordenadas normalizadas, passo de tempo limitado, aleatoriedade com semente e registro de tentativas</w:t>
            </w:r>
          </w:p>
        </w:tc>
        <w:tc>
          <w:tcPr>
            <w:tcW w:type="dxa" w:w="329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Garante reprodutibilidade de sequências de tentativas, útil para auditoria</w:t>
            </w:r>
          </w:p>
        </w:tc>
      </w:tr>
    </w:tbl>
    <w:p>
      <w:pPr>
        <w:spacing w:after="120"/>
      </w:pPr>
    </w:p>
    <w:p>
      <w:pPr>
        <w:pStyle w:val="Heading3"/>
        <w:keepNext/>
      </w:pPr>
      <w:r>
        <w:t xml:space="preserve">3.2.2 Problemas encontrados, que a nova plataforma não pode repetir</w:t>
      </w:r>
    </w:p>
    <w:p>
      <w:pPr>
        <w:spacing w:after="140" w:before="0" w:line="300"/>
        <w:jc w:val="left"/>
      </w:pPr>
      <w:r>
        <w:t xml:space="preserve">A classificação usa três níveis. </w:t>
      </w:r>
      <w:r>
        <w:rPr>
          <w:b/>
          <w:bCs/>
        </w:rPr>
        <w:t xml:space="preserve">Crítica</w:t>
      </w:r>
      <w:r>
        <w:t xml:space="preserve">: risco ético, legal ou de perda de dados clínicos. </w:t>
      </w:r>
      <w:r>
        <w:rPr>
          <w:b/>
          <w:bCs/>
        </w:rPr>
        <w:t xml:space="preserve">Alta</w:t>
      </w:r>
      <w:r>
        <w:t xml:space="preserve">: impede o uso clínico pretendido. </w:t>
      </w:r>
      <w:r>
        <w:rPr>
          <w:b/>
          <w:bCs/>
        </w:rPr>
        <w:t xml:space="preserve">Média</w:t>
      </w:r>
      <w:r>
        <w:t xml:space="preserve">: compromete qualidade, manutenção ou experiência.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9"/>
        <w:gridCol w:w="994"/>
        <w:gridCol w:w="1989"/>
        <w:gridCol w:w="3233"/>
        <w:gridCol w:w="2863"/>
      </w:tblGrid>
      <w:tr>
        <w:trPr>
          <w:tblHeader/>
        </w:trPr>
        <w:tc>
          <w:tcPr>
            <w:tcW w:type="dxa" w:w="559"/>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ID</w:t>
            </w:r>
          </w:p>
        </w:tc>
        <w:tc>
          <w:tcPr>
            <w:tcW w:type="dxa" w:w="994"/>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Severidade</w:t>
            </w:r>
          </w:p>
        </w:tc>
        <w:tc>
          <w:tcPr>
            <w:tcW w:type="dxa" w:w="1989"/>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Lacuna</w:t>
            </w:r>
          </w:p>
        </w:tc>
        <w:tc>
          <w:tcPr>
            <w:tcW w:type="dxa" w:w="3233"/>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Evidência</w:t>
            </w:r>
          </w:p>
        </w:tc>
        <w:tc>
          <w:tcPr>
            <w:tcW w:type="dxa" w:w="2863"/>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Como a nova plataforma resolve</w:t>
            </w:r>
          </w:p>
        </w:tc>
      </w:tr>
      <w:tr>
        <w:trPr>
          <w:cantSplit/>
        </w:trPr>
        <w:tc>
          <w:tcPr>
            <w:tcW w:type="dxa" w:w="55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L1</w:t>
            </w:r>
          </w:p>
        </w:tc>
        <w:tc>
          <w:tcPr>
            <w:tcW w:type="dxa" w:w="99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Alta</w:t>
            </w:r>
          </w:p>
        </w:tc>
        <w:tc>
          <w:tcPr>
            <w:tcW w:type="dxa" w:w="198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Duas bases de código divergentes</w:t>
            </w:r>
          </w:p>
        </w:tc>
        <w:tc>
          <w:tcPr>
            <w:tcW w:type="dxa" w:w="323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src/features/*</w:t>
            </w:r>
            <w:r>
              <w:rPr>
                <w:sz w:val="18"/>
                <w:szCs w:val="18"/>
              </w:rPr>
              <w:t xml:space="preserve"> e </w:t>
            </w:r>
            <w:r>
              <w:rPr>
                <w:rFonts w:ascii="Courier New" w:cs="Courier New" w:eastAsia="Courier New" w:hAnsi="Courier New"/>
                <w:sz w:val="18"/>
                <w:szCs w:val="18"/>
              </w:rPr>
              <w:t xml:space="preserve">apps/launcher/src/features/*</w:t>
            </w:r>
            <w:r>
              <w:rPr>
                <w:sz w:val="18"/>
                <w:szCs w:val="18"/>
              </w:rPr>
              <w:t xml:space="preserve"> têm arquivos com o mesmo nome e conteúdo diferente (por exemplo, </w:t>
            </w:r>
            <w:r>
              <w:rPr>
                <w:rFonts w:ascii="Courier New" w:cs="Courier New" w:eastAsia="Courier New" w:hAnsi="Courier New"/>
                <w:sz w:val="18"/>
                <w:szCs w:val="18"/>
              </w:rPr>
              <w:t xml:space="preserve">ActivityFrame.tsx</w:t>
            </w:r>
            <w:r>
              <w:rPr>
                <w:sz w:val="18"/>
                <w:szCs w:val="18"/>
              </w:rPr>
              <w:t xml:space="preserve">, </w:t>
            </w:r>
            <w:r>
              <w:rPr>
                <w:rFonts w:ascii="Courier New" w:cs="Courier New" w:eastAsia="Courier New" w:hAnsi="Courier New"/>
                <w:sz w:val="18"/>
                <w:szCs w:val="18"/>
              </w:rPr>
              <w:t xml:space="preserve">LoginPage.tsx</w:t>
            </w:r>
            <w:r>
              <w:rPr>
                <w:sz w:val="18"/>
                <w:szCs w:val="18"/>
              </w:rPr>
              <w:t xml:space="preserve">); </w:t>
            </w:r>
            <w:r>
              <w:rPr>
                <w:rFonts w:ascii="Courier New" w:cs="Courier New" w:eastAsia="Courier New" w:hAnsi="Courier New"/>
                <w:sz w:val="18"/>
                <w:szCs w:val="18"/>
              </w:rPr>
              <w:t xml:space="preserve">PROJECT_STATUS.md</w:t>
            </w:r>
            <w:r>
              <w:rPr>
                <w:sz w:val="18"/>
                <w:szCs w:val="18"/>
              </w:rPr>
              <w:t xml:space="preserve"> afirma que a duplicação foi resolvida</w:t>
            </w:r>
          </w:p>
        </w:tc>
        <w:tc>
          <w:tcPr>
            <w:tcW w:type="dxa" w:w="286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Aplicação única desde o início; catálogo e status gerados a partir do código</w:t>
            </w:r>
          </w:p>
        </w:tc>
      </w:tr>
      <w:tr>
        <w:trPr>
          <w:cantSplit/>
        </w:trPr>
        <w:tc>
          <w:tcPr>
            <w:tcW w:type="dxa" w:w="55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L2</w:t>
            </w:r>
          </w:p>
        </w:tc>
        <w:tc>
          <w:tcPr>
            <w:tcW w:type="dxa" w:w="994"/>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Crítica</w:t>
            </w:r>
          </w:p>
        </w:tc>
        <w:tc>
          <w:tcPr>
            <w:tcW w:type="dxa" w:w="198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Ausência do núcleo clínico</w:t>
            </w:r>
          </w:p>
        </w:tc>
        <w:tc>
          <w:tcPr>
            <w:tcW w:type="dxa" w:w="3233"/>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Não há tabelas de plano individual, objetivo, programa, alvo, fase, conjunto de estímulos, hierarquia de dicas ou critério de domínio; </w:t>
            </w:r>
            <w:r>
              <w:rPr>
                <w:rFonts w:ascii="Courier New" w:cs="Courier New" w:eastAsia="Courier New" w:hAnsi="Courier New"/>
                <w:sz w:val="18"/>
                <w:szCs w:val="18"/>
              </w:rPr>
              <w:t xml:space="preserve">TRIAL_COMPLETED</w:t>
            </w:r>
            <w:r>
              <w:rPr>
                <w:sz w:val="18"/>
                <w:szCs w:val="18"/>
              </w:rPr>
              <w:t xml:space="preserve"> não referencia alvo</w:t>
            </w:r>
          </w:p>
        </w:tc>
        <w:tc>
          <w:tcPr>
            <w:tcW w:type="dxa" w:w="2863"/>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Seção 7 (modelo de dados) e Seção 8 (protocolo v2)</w:t>
            </w:r>
          </w:p>
        </w:tc>
      </w:tr>
      <w:tr>
        <w:trPr>
          <w:cantSplit/>
        </w:trPr>
        <w:tc>
          <w:tcPr>
            <w:tcW w:type="dxa" w:w="55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L3</w:t>
            </w:r>
          </w:p>
        </w:tc>
        <w:tc>
          <w:tcPr>
            <w:tcW w:type="dxa" w:w="99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Crítica</w:t>
            </w:r>
          </w:p>
        </w:tc>
        <w:tc>
          <w:tcPr>
            <w:tcW w:type="dxa" w:w="198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Perda possível de tentativas registradas</w:t>
            </w:r>
          </w:p>
        </w:tc>
        <w:tc>
          <w:tcPr>
            <w:tcW w:type="dxa" w:w="323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O SDK grava eventos em IndexedDB, mas o hospedeiro envia a partir de um buffer próprio em memória; se a aba fechar antes do envio, a fila do SDK não é reenviada por ninguém (achado já registrado na auditoria interna)</w:t>
            </w:r>
          </w:p>
        </w:tc>
        <w:tc>
          <w:tcPr>
            <w:tcW w:type="dxa" w:w="286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Fila única de saída (outbox) persistida, com confirmação do servidor por evento (Seção 12.4)</w:t>
            </w:r>
          </w:p>
        </w:tc>
      </w:tr>
      <w:tr>
        <w:trPr>
          <w:cantSplit/>
        </w:trPr>
        <w:tc>
          <w:tcPr>
            <w:tcW w:type="dxa" w:w="55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L4</w:t>
            </w:r>
          </w:p>
        </w:tc>
        <w:tc>
          <w:tcPr>
            <w:tcW w:type="dxa" w:w="994"/>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Crítica</w:t>
            </w:r>
          </w:p>
        </w:tc>
        <w:tc>
          <w:tcPr>
            <w:tcW w:type="dxa" w:w="198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Ranking entre crianças no portal infantil</w:t>
            </w:r>
          </w:p>
        </w:tc>
        <w:tc>
          <w:tcPr>
            <w:tcW w:type="dxa" w:w="3233"/>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ChildHome.tsx</w:t>
            </w:r>
            <w:r>
              <w:rPr>
                <w:sz w:val="18"/>
                <w:szCs w:val="18"/>
              </w:rPr>
              <w:t xml:space="preserve"> exibe “RANKING DA SEMANA” com nomes fixos; o README anuncia leaderboard global; a página inicial promete “sem rankings punitivos”</w:t>
            </w:r>
          </w:p>
        </w:tc>
        <w:tc>
          <w:tcPr>
            <w:tcW w:type="dxa" w:w="2863"/>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Não incluir. Comparação social é contraindicada clinicamente e expõe dados de terceiros (P7)</w:t>
            </w:r>
          </w:p>
        </w:tc>
      </w:tr>
      <w:tr>
        <w:trPr>
          <w:cantSplit/>
        </w:trPr>
        <w:tc>
          <w:tcPr>
            <w:tcW w:type="dxa" w:w="55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L5</w:t>
            </w:r>
          </w:p>
        </w:tc>
        <w:tc>
          <w:tcPr>
            <w:tcW w:type="dxa" w:w="99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Crítica</w:t>
            </w:r>
          </w:p>
        </w:tc>
        <w:tc>
          <w:tcPr>
            <w:tcW w:type="dxa" w:w="198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Triagem aberta ao público</w:t>
            </w:r>
          </w:p>
        </w:tc>
        <w:tc>
          <w:tcPr>
            <w:tcW w:type="dxa" w:w="323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TriageQuiz.tsx</w:t>
            </w:r>
            <w:r>
              <w:rPr>
                <w:sz w:val="18"/>
                <w:szCs w:val="18"/>
              </w:rPr>
              <w:t xml:space="preserve"> na landing pede a qualquer visitante que pontue atenção, comportamento social e sensorial e regulação emocional de uma criança, e devolve escores percentuais</w:t>
            </w:r>
          </w:p>
        </w:tc>
        <w:tc>
          <w:tcPr>
            <w:tcW w:type="dxa" w:w="286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Não incluir na área pública. Mesmo com aviso de não diagnóstico, gera escores sobre uma criança sem vínculo profissional, sem contexto e sem consentimento</w:t>
            </w:r>
          </w:p>
        </w:tc>
      </w:tr>
      <w:tr>
        <w:trPr>
          <w:cantSplit/>
        </w:trPr>
        <w:tc>
          <w:tcPr>
            <w:tcW w:type="dxa" w:w="55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L6</w:t>
            </w:r>
          </w:p>
        </w:tc>
        <w:tc>
          <w:tcPr>
            <w:tcW w:type="dxa" w:w="994"/>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Crítica</w:t>
            </w:r>
          </w:p>
        </w:tc>
        <w:tc>
          <w:tcPr>
            <w:tcW w:type="dxa" w:w="198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Instrumentos fora de escopo</w:t>
            </w:r>
          </w:p>
        </w:tc>
        <w:tc>
          <w:tcPr>
            <w:tcW w:type="dxa" w:w="3233"/>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protocol/src/instruments</w:t>
            </w:r>
            <w:r>
              <w:rPr>
                <w:sz w:val="18"/>
                <w:szCs w:val="18"/>
              </w:rPr>
              <w:t xml:space="preserve"> e migrações 0017 e 0019 implementam PHQ-9, ASRS, AQ-10, CBI e WHO-5</w:t>
            </w:r>
          </w:p>
        </w:tc>
        <w:tc>
          <w:tcPr>
            <w:tcW w:type="dxa" w:w="2863"/>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Não incluir. São instrumentos para adultos ou adolescentes mais velhos, fora do público de intervenção precoce; o uso de testes psicológicos depende de parecer favorável do SATEPSI</w:t>
            </w:r>
          </w:p>
        </w:tc>
      </w:tr>
      <w:tr>
        <w:trPr>
          <w:cantSplit/>
        </w:trPr>
        <w:tc>
          <w:tcPr>
            <w:tcW w:type="dxa" w:w="55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L7</w:t>
            </w:r>
          </w:p>
        </w:tc>
        <w:tc>
          <w:tcPr>
            <w:tcW w:type="dxa" w:w="99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Alta</w:t>
            </w:r>
          </w:p>
        </w:tc>
        <w:tc>
          <w:tcPr>
            <w:tcW w:type="dxa" w:w="198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Cadastro de criança inexistente no fluxo funcional</w:t>
            </w:r>
          </w:p>
        </w:tc>
        <w:tc>
          <w:tcPr>
            <w:tcW w:type="dxa" w:w="323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Inserções aparecem só em seed e testes; a tela de gestão de crianças é simulada</w:t>
            </w:r>
          </w:p>
        </w:tc>
        <w:tc>
          <w:tcPr>
            <w:tcW w:type="dxa" w:w="286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Função transacional </w:t>
            </w:r>
            <w:r>
              <w:rPr>
                <w:rFonts w:ascii="Courier New" w:cs="Courier New" w:eastAsia="Courier New" w:hAnsi="Courier New"/>
                <w:sz w:val="18"/>
                <w:szCs w:val="18"/>
              </w:rPr>
              <w:t xml:space="preserve">create_assigned_child</w:t>
            </w:r>
            <w:r>
              <w:rPr>
                <w:sz w:val="18"/>
                <w:szCs w:val="18"/>
              </w:rPr>
              <w:t xml:space="preserve"> que valida vínculo, cria criança e vínculo e registra consentimento</w:t>
            </w:r>
          </w:p>
        </w:tc>
      </w:tr>
      <w:tr>
        <w:trPr>
          <w:cantSplit/>
        </w:trPr>
        <w:tc>
          <w:tcPr>
            <w:tcW w:type="dxa" w:w="55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L8</w:t>
            </w:r>
          </w:p>
        </w:tc>
        <w:tc>
          <w:tcPr>
            <w:tcW w:type="dxa" w:w="994"/>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Alta</w:t>
            </w:r>
          </w:p>
        </w:tc>
        <w:tc>
          <w:tcPr>
            <w:tcW w:type="dxa" w:w="198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Payload de evento sem validação por jogo</w:t>
            </w:r>
          </w:p>
        </w:tc>
        <w:tc>
          <w:tcPr>
            <w:tcW w:type="dxa" w:w="3233"/>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clinical_events</w:t>
            </w:r>
            <w:r>
              <w:rPr>
                <w:sz w:val="18"/>
                <w:szCs w:val="18"/>
              </w:rPr>
              <w:t xml:space="preserve"> valida envelope e tipo, mas aceita qualquer objeto em </w:t>
            </w:r>
            <w:r>
              <w:rPr>
                <w:rFonts w:ascii="Courier New" w:cs="Courier New" w:eastAsia="Courier New" w:hAnsi="Courier New"/>
                <w:sz w:val="18"/>
                <w:szCs w:val="18"/>
              </w:rPr>
              <w:t xml:space="preserve">payload</w:t>
            </w:r>
            <w:r>
              <w:rPr>
                <w:sz w:val="18"/>
                <w:szCs w:val="18"/>
              </w:rPr>
              <w:t xml:space="preserve">; o agregador confia em </w:t>
            </w:r>
            <w:r>
              <w:rPr>
                <w:rFonts w:ascii="Courier New" w:cs="Courier New" w:eastAsia="Courier New" w:hAnsi="Courier New"/>
                <w:sz w:val="18"/>
                <w:szCs w:val="18"/>
              </w:rPr>
              <w:t xml:space="preserve">payload.correct</w:t>
            </w:r>
          </w:p>
        </w:tc>
        <w:tc>
          <w:tcPr>
            <w:tcW w:type="dxa" w:w="2863"/>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Registro de esquemas por </w:t>
            </w:r>
            <w:r>
              <w:rPr>
                <w:rFonts w:ascii="Courier New" w:cs="Courier New" w:eastAsia="Courier New" w:hAnsi="Courier New"/>
                <w:sz w:val="18"/>
                <w:szCs w:val="18"/>
              </w:rPr>
              <w:t xml:space="preserve">app_id + versão + tipo de evento</w:t>
            </w:r>
            <w:r>
              <w:rPr>
                <w:sz w:val="18"/>
                <w:szCs w:val="18"/>
              </w:rPr>
              <w:t xml:space="preserve"> com quarentena (Seção 8.3)</w:t>
            </w:r>
          </w:p>
        </w:tc>
      </w:tr>
      <w:tr>
        <w:trPr>
          <w:cantSplit/>
        </w:trPr>
        <w:tc>
          <w:tcPr>
            <w:tcW w:type="dxa" w:w="55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L9</w:t>
            </w:r>
          </w:p>
        </w:tc>
        <w:tc>
          <w:tcPr>
            <w:tcW w:type="dxa" w:w="99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Alta</w:t>
            </w:r>
          </w:p>
        </w:tc>
        <w:tc>
          <w:tcPr>
            <w:tcW w:type="dxa" w:w="198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“Maestria” com limiares fixos</w:t>
            </w:r>
          </w:p>
        </w:tc>
        <w:tc>
          <w:tcPr>
            <w:tcW w:type="dxa" w:w="323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Painel converte um índice do jogo em Iniciante / Em desenvolvimento / Proficiente / Avançado nos cortes 25/50/75</w:t>
            </w:r>
          </w:p>
        </w:tc>
        <w:tc>
          <w:tcPr>
            <w:tcW w:type="dxa" w:w="286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Índice de desempenho no jogo separado de domínio; domínio só por critério configurado no alvo (P4)</w:t>
            </w:r>
          </w:p>
        </w:tc>
      </w:tr>
      <w:tr>
        <w:trPr>
          <w:cantSplit/>
        </w:trPr>
        <w:tc>
          <w:tcPr>
            <w:tcW w:type="dxa" w:w="55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L10</w:t>
            </w:r>
          </w:p>
        </w:tc>
        <w:tc>
          <w:tcPr>
            <w:tcW w:type="dxa" w:w="994"/>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Alta</w:t>
            </w:r>
          </w:p>
        </w:tc>
        <w:tc>
          <w:tcPr>
            <w:tcW w:type="dxa" w:w="198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Taxa global que mistura habilidades</w:t>
            </w:r>
          </w:p>
        </w:tc>
        <w:tc>
          <w:tcPr>
            <w:tcW w:type="dxa" w:w="3233"/>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aggregateSession()</w:t>
            </w:r>
            <w:r>
              <w:rPr>
                <w:sz w:val="18"/>
                <w:szCs w:val="18"/>
              </w:rPr>
              <w:t xml:space="preserve"> soma acertos de jogos diferentes em </w:t>
            </w:r>
            <w:r>
              <w:rPr>
                <w:rFonts w:ascii="Courier New" w:cs="Courier New" w:eastAsia="Courier New" w:hAnsi="Courier New"/>
                <w:sz w:val="18"/>
                <w:szCs w:val="18"/>
              </w:rPr>
              <w:t xml:space="preserve">overallSuccessRate</w:t>
            </w:r>
          </w:p>
        </w:tc>
        <w:tc>
          <w:tcPr>
            <w:tcW w:type="dxa" w:w="2863"/>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Agregar somente dentro do mesmo alvo e da mesma definição operacional</w:t>
            </w:r>
          </w:p>
        </w:tc>
      </w:tr>
      <w:tr>
        <w:trPr>
          <w:cantSplit/>
        </w:trPr>
        <w:tc>
          <w:tcPr>
            <w:tcW w:type="dxa" w:w="55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L11</w:t>
            </w:r>
          </w:p>
        </w:tc>
        <w:tc>
          <w:tcPr>
            <w:tcW w:type="dxa" w:w="99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Alta</w:t>
            </w:r>
          </w:p>
        </w:tc>
        <w:tc>
          <w:tcPr>
            <w:tcW w:type="dxa" w:w="198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Sem registro de comportamento, reforçadores e sessão de mesa</w:t>
            </w:r>
          </w:p>
        </w:tc>
        <w:tc>
          <w:tcPr>
            <w:tcW w:type="dxa" w:w="323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Nenhuma estrutura para ABC, frequência, duração, intervalo, inventário de reforçadores ou tentativas aplicadas fora da tela</w:t>
            </w:r>
          </w:p>
        </w:tc>
        <w:tc>
          <w:tcPr>
            <w:tcW w:type="dxa" w:w="286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Módulos M5, M6 e M8 (Seção 6)</w:t>
            </w:r>
          </w:p>
        </w:tc>
      </w:tr>
      <w:tr>
        <w:trPr>
          <w:cantSplit/>
        </w:trPr>
        <w:tc>
          <w:tcPr>
            <w:tcW w:type="dxa" w:w="55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L12</w:t>
            </w:r>
          </w:p>
        </w:tc>
        <w:tc>
          <w:tcPr>
            <w:tcW w:type="dxa" w:w="994"/>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Média</w:t>
            </w:r>
          </w:p>
        </w:tc>
        <w:tc>
          <w:tcPr>
            <w:tcW w:type="dxa" w:w="198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Idade não orienta o catálogo</w:t>
            </w:r>
          </w:p>
        </w:tc>
        <w:tc>
          <w:tcPr>
            <w:tcW w:type="dxa" w:w="3233"/>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Faixas etárias declaradas vão de 3 a 18 anos; nada abaixo de 3; atribuição fora da faixa não gera alerta</w:t>
            </w:r>
          </w:p>
        </w:tc>
        <w:tc>
          <w:tcPr>
            <w:tcW w:type="dxa" w:w="2863"/>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Compatibilidade etária com decisão consciente do profissional; ferramentas do terapeuta para 0 a 3 anos</w:t>
            </w:r>
          </w:p>
        </w:tc>
      </w:tr>
      <w:tr>
        <w:trPr>
          <w:cantSplit/>
        </w:trPr>
        <w:tc>
          <w:tcPr>
            <w:tcW w:type="dxa" w:w="55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L13</w:t>
            </w:r>
          </w:p>
        </w:tc>
        <w:tc>
          <w:tcPr>
            <w:tcW w:type="dxa" w:w="99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Média</w:t>
            </w:r>
          </w:p>
        </w:tc>
        <w:tc>
          <w:tcPr>
            <w:tcW w:type="dxa" w:w="198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Progresso infantil em </w:t>
            </w:r>
            <w:r>
              <w:rPr>
                <w:rFonts w:ascii="Courier New" w:cs="Courier New" w:eastAsia="Courier New" w:hAnsi="Courier New"/>
                <w:sz w:val="18"/>
                <w:szCs w:val="18"/>
              </w:rPr>
              <w:t xml:space="preserve">localStorage</w:t>
            </w:r>
          </w:p>
        </w:tc>
        <w:tc>
          <w:tcPr>
            <w:tcW w:type="dxa" w:w="323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ChildPortalDesign.tsx</w:t>
            </w:r>
            <w:r>
              <w:rPr>
                <w:sz w:val="18"/>
                <w:szCs w:val="18"/>
              </w:rPr>
              <w:t xml:space="preserve"> grava progresso em </w:t>
            </w:r>
            <w:r>
              <w:rPr>
                <w:rFonts w:ascii="Courier New" w:cs="Courier New" w:eastAsia="Courier New" w:hAnsi="Courier New"/>
                <w:sz w:val="18"/>
                <w:szCs w:val="18"/>
              </w:rPr>
              <w:t xml:space="preserve">psicoplay:progress:{childId}</w:t>
            </w:r>
          </w:p>
        </w:tc>
        <w:tc>
          <w:tcPr>
            <w:tcW w:type="dxa" w:w="286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Progresso no servidor; no dispositivo, só cache cifrado de curta duração</w:t>
            </w:r>
          </w:p>
        </w:tc>
      </w:tr>
      <w:tr>
        <w:trPr>
          <w:cantSplit/>
        </w:trPr>
        <w:tc>
          <w:tcPr>
            <w:tcW w:type="dxa" w:w="55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L14</w:t>
            </w:r>
          </w:p>
        </w:tc>
        <w:tc>
          <w:tcPr>
            <w:tcW w:type="dxa" w:w="994"/>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Média</w:t>
            </w:r>
          </w:p>
        </w:tc>
        <w:tc>
          <w:tcPr>
            <w:tcW w:type="dxa" w:w="198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Ausência de acervo visual próprio</w:t>
            </w:r>
          </w:p>
        </w:tc>
        <w:tc>
          <w:tcPr>
            <w:tcW w:type="dxa" w:w="3233"/>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A análise interna constatou que os jogos usam emoji, CSS e SVG gerados, sem imagens próprias</w:t>
            </w:r>
          </w:p>
        </w:tc>
        <w:tc>
          <w:tcPr>
            <w:tcW w:type="dxa" w:w="2863"/>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Biblioteca de estímulos licenciada e própria (Seção 9.6), com fotografias reais para pareamento e tato</w:t>
            </w:r>
          </w:p>
        </w:tc>
      </w:tr>
      <w:tr>
        <w:trPr>
          <w:cantSplit/>
        </w:trPr>
        <w:tc>
          <w:tcPr>
            <w:tcW w:type="dxa" w:w="55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L15</w:t>
            </w:r>
          </w:p>
        </w:tc>
        <w:tc>
          <w:tcPr>
            <w:tcW w:type="dxa" w:w="99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Média</w:t>
            </w:r>
          </w:p>
        </w:tc>
        <w:tc>
          <w:tcPr>
            <w:tcW w:type="dxa" w:w="198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Documentação divergente do código</w:t>
            </w:r>
          </w:p>
        </w:tc>
        <w:tc>
          <w:tcPr>
            <w:tcW w:type="dxa" w:w="323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Contagens de jogos, pacotes e apps diferentes entre </w:t>
            </w:r>
            <w:r>
              <w:rPr>
                <w:rFonts w:ascii="Courier New" w:cs="Courier New" w:eastAsia="Courier New" w:hAnsi="Courier New"/>
                <w:sz w:val="18"/>
                <w:szCs w:val="18"/>
              </w:rPr>
              <w:t xml:space="preserve">README</w:t>
            </w:r>
            <w:r>
              <w:rPr>
                <w:sz w:val="18"/>
                <w:szCs w:val="18"/>
              </w:rPr>
              <w:t xml:space="preserve">, </w:t>
            </w:r>
            <w:r>
              <w:rPr>
                <w:rFonts w:ascii="Courier New" w:cs="Courier New" w:eastAsia="Courier New" w:hAnsi="Courier New"/>
                <w:sz w:val="18"/>
                <w:szCs w:val="18"/>
              </w:rPr>
              <w:t xml:space="preserve">PROJECT_STATUS</w:t>
            </w:r>
            <w:r>
              <w:rPr>
                <w:sz w:val="18"/>
                <w:szCs w:val="18"/>
              </w:rPr>
              <w:t xml:space="preserve">, </w:t>
            </w:r>
            <w:r>
              <w:rPr>
                <w:rFonts w:ascii="Courier New" w:cs="Courier New" w:eastAsia="Courier New" w:hAnsi="Courier New"/>
                <w:sz w:val="18"/>
                <w:szCs w:val="18"/>
              </w:rPr>
              <w:t xml:space="preserve">Games-Analysis</w:t>
            </w:r>
            <w:r>
              <w:rPr>
                <w:sz w:val="18"/>
                <w:szCs w:val="18"/>
              </w:rPr>
              <w:t xml:space="preserve"> e o código</w:t>
            </w:r>
          </w:p>
        </w:tc>
        <w:tc>
          <w:tcPr>
            <w:tcW w:type="dxa" w:w="286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Gerar o catálogo e o status a partir do código no CI</w:t>
            </w:r>
          </w:p>
        </w:tc>
      </w:tr>
    </w:tbl>
    <w:p>
      <w:pPr>
        <w:spacing w:after="120"/>
      </w:pPr>
    </w:p>
    <w:p>
      <w:pPr>
        <w:pStyle w:val="Heading3"/>
        <w:keepNext/>
      </w:pPr>
      <w:r>
        <w:t xml:space="preserve">3.2.3 Leitura clínica do diagnóstico</w:t>
      </w:r>
    </w:p>
    <w:p>
      <w:pPr>
        <w:spacing w:after="140" w:before="0" w:line="300"/>
        <w:jc w:val="left"/>
      </w:pPr>
      <w:r>
        <w:t xml:space="preserve">Vale explicitar por que as lacunas L2, L9 e L10 são tratadas como problema clínico, e não apenas técnico. Em Análise do Comportamento, uma porcentagem de acerto só é interpretável quando se conhecem a definição operacional da resposta, o estímulo antecedente, a dica disponível e a consequência programada. “80% em atenção” não diz nada sobre o que a criança aprendeu. Já “80% de respostas de ouvinte independentes ao selecionar a figura nomeada, em campo de três, com estímulos do conjunto 2, aplicadas por pessoa diferente da que ensinou” é um dado que sustenta decisão. A plataforma precisa produzir o segundo tipo de dado por construção, sem depender da disciplina individual do profissional para preencher campos livres.</w:t>
      </w:r>
    </w:p>
    <w:p>
      <w:pPr>
        <w:spacing w:after="140" w:before="0" w:line="300"/>
        <w:jc w:val="left"/>
      </w:pPr>
      <w:r>
        <w:t xml:space="preserve">O mesmo raciocínio vale para o Modelo Denver, com outra unidade de análise. No ESDM o registro não é por tentativa discreta, mas pelo nível de desempenho em cada passo de aprendizagem dos objetivos trimestrais, observado dentro de rotinas de atividade conjunta, com amostragem periódica ao longo da sessão. Um sistema que só conhece “tentativa certa ou errada” não consegue representar uma sessão Denver sem distorcê-la. Esse é o fundamento técnico do princípio P1.</w:t>
      </w:r>
    </w:p>
    <w:p>
      <w:pPr>
        <w:pStyle w:val="Heading2"/>
        <w:keepNext/>
      </w:pPr>
      <w:r>
        <w:t xml:space="preserve">3.3 Matriz de herança para a nova plataforma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75"/>
        <w:gridCol w:w="7863"/>
      </w:tblGrid>
      <w:tr>
        <w:trPr>
          <w:tblHeader/>
        </w:trPr>
        <w:tc>
          <w:tcPr>
            <w:tcW w:type="dxa" w:w="1775"/>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Decisão</w:t>
            </w:r>
          </w:p>
        </w:tc>
        <w:tc>
          <w:tcPr>
            <w:tcW w:type="dxa" w:w="7863"/>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Itens</w:t>
            </w:r>
          </w:p>
        </w:tc>
      </w:tr>
      <w:tr>
        <w:trPr>
          <w:cantSplit/>
        </w:trPr>
        <w:tc>
          <w:tcPr>
            <w:tcW w:type="dxa" w:w="177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Herdar o padrão</w:t>
            </w:r>
          </w:p>
        </w:tc>
        <w:tc>
          <w:tcPr>
            <w:tcW w:type="dxa" w:w="786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RLS e modelo de organizações e vínculos; </w:t>
            </w:r>
            <w:r>
              <w:rPr>
                <w:rFonts w:ascii="Courier New" w:cs="Courier New" w:eastAsia="Courier New" w:hAnsi="Courier New"/>
                <w:sz w:val="18"/>
                <w:szCs w:val="18"/>
              </w:rPr>
              <w:t xml:space="preserve">clinical_events</w:t>
            </w:r>
            <w:r>
              <w:rPr>
                <w:sz w:val="18"/>
                <w:szCs w:val="18"/>
              </w:rPr>
              <w:t xml:space="preserve"> append-only e idempotente; sessão infantil por token com hash; pontuação no servidor dirigida por manifesto; pipeline de CI; testes pgTAP; utilitários </w:t>
            </w:r>
            <w:r>
              <w:rPr>
                <w:rFonts w:ascii="Courier New" w:cs="Courier New" w:eastAsia="Courier New" w:hAnsi="Courier New"/>
                <w:sz w:val="18"/>
                <w:szCs w:val="18"/>
              </w:rPr>
              <w:t xml:space="preserve">gameRuntime</w:t>
            </w:r>
            <w:r>
              <w:rPr>
                <w:sz w:val="18"/>
                <w:szCs w:val="18"/>
              </w:rPr>
              <w:t xml:space="preserve">; modelo de ameaças</w:t>
            </w:r>
          </w:p>
        </w:tc>
      </w:tr>
      <w:tr>
        <w:trPr>
          <w:cantSplit/>
        </w:trPr>
        <w:tc>
          <w:tcPr>
            <w:tcW w:type="dxa" w:w="1775"/>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Herdar redesenhado</w:t>
            </w:r>
          </w:p>
        </w:tc>
        <w:tc>
          <w:tcPr>
            <w:tcW w:type="dxa" w:w="7863"/>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Protocolo de eventos (com referência ao alvo); manifesto de app (com bloco clínico); agregação (por alvo); fila de eventos (outbox única); portal infantil (por faixa etária, sem ranking); design system (paletas unificadas); conceitos dos 25 jogos (reconstruídos sobre o manifesto clínico, ver Seção 9.3)</w:t>
            </w:r>
          </w:p>
        </w:tc>
      </w:tr>
      <w:tr>
        <w:trPr>
          <w:cantSplit/>
        </w:trPr>
        <w:tc>
          <w:tcPr>
            <w:tcW w:type="dxa" w:w="177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Substituir por outra lógica</w:t>
            </w:r>
          </w:p>
        </w:tc>
        <w:tc>
          <w:tcPr>
            <w:tcW w:type="dxa" w:w="786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“Maestria” por índice de desempenho no jogo mais domínio por critério; taxa global por resumos por alvo; progresso em </w:t>
            </w:r>
            <w:r>
              <w:rPr>
                <w:rFonts w:ascii="Courier New" w:cs="Courier New" w:eastAsia="Courier New" w:hAnsi="Courier New"/>
                <w:sz w:val="18"/>
                <w:szCs w:val="18"/>
              </w:rPr>
              <w:t xml:space="preserve">localStorage</w:t>
            </w:r>
            <w:r>
              <w:rPr>
                <w:sz w:val="18"/>
                <w:szCs w:val="18"/>
              </w:rPr>
              <w:t xml:space="preserve"> por dados no servidor</w:t>
            </w:r>
          </w:p>
        </w:tc>
      </w:tr>
      <w:tr>
        <w:trPr>
          <w:cantSplit/>
        </w:trPr>
        <w:tc>
          <w:tcPr>
            <w:tcW w:type="dxa" w:w="1775"/>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Não repetir</w:t>
            </w:r>
          </w:p>
        </w:tc>
        <w:tc>
          <w:tcPr>
            <w:tcW w:type="dxa" w:w="7863"/>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Ranking entre crianças; triagem pública na página inicial; instrumentos PHQ-9, ASRS, AQ-10, CBI e WHO-5; bases de código paralelas; dependências sem uso; dados clínicos no navegador sem cifragem; documentação desalinhada do código</w:t>
            </w:r>
          </w:p>
        </w:tc>
      </w:tr>
      <w:tr>
        <w:trPr>
          <w:cantSplit/>
        </w:trPr>
        <w:tc>
          <w:tcPr>
            <w:tcW w:type="dxa" w:w="177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Criar do zero</w:t>
            </w:r>
          </w:p>
        </w:tc>
        <w:tc>
          <w:tcPr>
            <w:tcW w:type="dxa" w:w="786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Página inicial e telas de acesso redesenhadas; núcleo clínico (caso, plano, objetivo, programa, alvo, fase, estímulos, dicas, critérios); execução de sessão ABA e Denver offline; registro de comportamento; reforçadores e avaliação de preferência; motor de regras de decisão; supervisão e fidelidade; portal da família; documentos; novos jogos e prancha de comunicação</w:t>
            </w:r>
          </w:p>
        </w:tc>
      </w:tr>
    </w:tbl>
    <w:p>
      <w:pPr>
        <w:spacing w:after="120"/>
      </w:pPr>
    </w:p>
    <w:p>
      <w:pPr>
        <w:pStyle w:val="Heading1"/>
        <w:pageBreakBefore/>
      </w:pPr>
      <w:r>
        <w:t xml:space="preserve">4. Fundamentação teórica e científica</w:t>
      </w:r>
    </w:p>
    <w:p>
      <w:pPr>
        <w:spacing w:after="140" w:before="0" w:line="300"/>
        <w:jc w:val="left"/>
      </w:pPr>
      <w:r>
        <w:t xml:space="preserve">Esta seção estabelece a base conceitual que a plataforma operacionaliza. Cada fundamento termina com sua implicação direta no sistema, para que a ligação entre teoria e especificação fique rastreável.</w:t>
      </w:r>
    </w:p>
    <w:p>
      <w:pPr>
        <w:pStyle w:val="Heading2"/>
        <w:keepNext/>
      </w:pPr>
      <w:r>
        <w:t xml:space="preserve">4.1 Análise do Comportamento Aplicada</w:t>
      </w:r>
    </w:p>
    <w:p>
      <w:pPr>
        <w:spacing w:after="140" w:before="0" w:line="300"/>
        <w:jc w:val="left"/>
      </w:pPr>
      <w:r>
        <w:t xml:space="preserve">A ABA é definida pelas sete dimensões propostas por Baer, Wolf e Risley (1968): aplicada (o comportamento escolhido importa para a vida da pessoa), comportamental (o que se mede é o comportamento observável), analítica (demonstra-se controle experimental sobre a mudança), tecnológica (procedimentos descritos com detalhe suficiente para replicação), conceitualmente sistemática (procedimentos derivados de princípios), eficaz (a mudança tem magnitude prática) e com generalidade (a mudança se mantém no tempo, aparece em outros contextos e se espalha para respostas relacionadas). Três dessas dimensões têm impacto direto na arquitetura do sistema. A dimensão tecnológica exige que cada alvo tenha definição operacional, procedimento de ensino, hierarquia de dicas e correção de erro registrados. A dimensão analítica exige gráficos com linhas de mudança de fase e dados suficientes para análise visual. A dimensão de generalidade exige sondas de manutenção e generalização programadas, e não apenas avaliação da aquisição.</w:t>
      </w:r>
    </w:p>
    <w:p>
      <w:pPr>
        <w:spacing w:after="140" w:before="0" w:line="300"/>
        <w:jc w:val="left"/>
      </w:pPr>
      <w:r>
        <w:t xml:space="preserve">A unidade conceitual é a contingência de três termos: estímulo antecedente, resposta e consequência. No Ensino por Tentativas Discretas (DTT), cada tentativa é uma contingência isolada, com início e fim claros, o que permite registrar resposta correta, incorreta, sem resposta ou com dica. No Ensino em Ambiente Natural (NET) e no ensino incidental, as oportunidades surgem da motivação da criança no ambiente, e o registro é por oportunidade aproveitada. Em encadeamento, a unidade é o passo de uma análise de tarefa, com registro do nível de ajuda em cada passo. No registro de comportamento-problema, as medidas são frequência ou taxa, duração, latência e procedimentos de amostragem por intervalo (parcial, total ou momentâneo), sempre acompanhadas de registro descritivo antecedente-comportamento-consequência quando se investiga função.</w:t>
      </w:r>
    </w:p>
    <w:p>
      <w:pPr>
        <w:spacing w:after="140" w:before="0" w:line="300"/>
        <w:jc w:val="left"/>
      </w:pPr>
      <w:r>
        <w:t xml:space="preserve">O controle de dicas segue procedimentos com evidência consolidada: do mais para o menos intrusivo (útil em aquisição inicial para minimizar erros), do menos para o mais intrusivo (útil quando há repertório parcial), e atraso progressivo ou constante de tempo, em que a dica é apresentada após intervalos crescentes. Em todos os casos, o esvanecimento deve ser planejado desde o início, porque a dependência de dica é um dos fracassos mais comuns da prática.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5E63" w:sz="24"/>
              <w:bottom w:val="none" w:color="FFFFFF" w:sz="0"/>
              <w:right w:val="none" w:color="FFFFFF" w:sz="0"/>
            </w:tcBorders>
            <w:shd w:fill="E0F2F1" w:color="auto" w:val="clear"/>
            <w:tcMar>
              <w:top w:type="dxa" w:w="140"/>
              <w:left w:type="dxa" w:w="220"/>
              <w:bottom w:type="dxa" w:w="120"/>
              <w:right w:type="dxa" w:w="200"/>
            </w:tcMar>
          </w:tcPr>
          <w:p>
            <w:pPr>
              <w:spacing w:after="80"/>
            </w:pPr>
            <w:r>
              <w:rPr>
                <w:b/>
                <w:bCs/>
                <w:color w:val="1B5E63"/>
                <w:sz w:val="20"/>
                <w:szCs w:val="20"/>
              </w:rPr>
              <w:t xml:space="preserve">Implicação no sistema</w:t>
            </w:r>
          </w:p>
          <w:p>
            <w:pPr>
              <w:spacing w:after="70" w:line="280"/>
            </w:pPr>
            <w:r>
              <w:rPr>
                <w:sz w:val="19"/>
                <w:szCs w:val="19"/>
              </w:rPr>
              <w:t xml:space="preserve">Cada alvo ABA declara um </w:t>
            </w:r>
            <w:r>
              <w:rPr>
                <w:b/>
                <w:bCs/>
                <w:sz w:val="19"/>
                <w:szCs w:val="19"/>
              </w:rPr>
              <w:t xml:space="preserve">tipo de procedimento</w:t>
            </w:r>
            <w:r>
              <w:rPr>
                <w:sz w:val="19"/>
                <w:szCs w:val="19"/>
              </w:rPr>
              <w:t xml:space="preserve"> (DTT, NET, encadeamento, taxa ou fluência, comportamento) e uma </w:t>
            </w:r>
            <w:r>
              <w:rPr>
                <w:b/>
                <w:bCs/>
                <w:sz w:val="19"/>
                <w:szCs w:val="19"/>
              </w:rPr>
              <w:t xml:space="preserve">hierarquia de dicas</w:t>
            </w:r>
            <w:r>
              <w:rPr>
                <w:sz w:val="19"/>
                <w:szCs w:val="19"/>
              </w:rPr>
              <w:t xml:space="preserve"> escolhida de uma biblioteca editável. O registro de tentativa aceita apenas níveis daquela hierarquia. A medida primária de aquisição é a proporção de respostas corretas </w:t>
            </w:r>
            <w:r>
              <w:rPr>
                <w:b/>
                <w:bCs/>
                <w:sz w:val="19"/>
                <w:szCs w:val="19"/>
              </w:rPr>
              <w:t xml:space="preserve">independentes</w:t>
            </w:r>
            <w:r>
              <w:rPr>
                <w:sz w:val="19"/>
                <w:szCs w:val="19"/>
              </w:rPr>
              <w:t xml:space="preserve">; respostas corretas com dica são registradas e graficadas separadamente, e a distribuição de dicas ao longo do tempo é ela mesma um indicador de progresso (Seção 8.5).</w:t>
            </w:r>
          </w:p>
        </w:tc>
      </w:tr>
    </w:tbl>
    <w:p>
      <w:pPr>
        <w:spacing w:after="120"/>
      </w:pPr>
    </w:p>
    <w:p>
      <w:pPr>
        <w:pStyle w:val="Heading2"/>
        <w:keepNext/>
      </w:pPr>
      <w:r>
        <w:t xml:space="preserve">4.2 Comportamento verbal</w:t>
      </w:r>
    </w:p>
    <w:p>
      <w:pPr>
        <w:spacing w:after="140" w:before="0" w:line="300"/>
        <w:jc w:val="left"/>
      </w:pPr>
      <w:r>
        <w:t xml:space="preserve">A análise de Skinner (1957) trata a linguagem pela função, não pela forma. Os operantes elementares são o mando (pedido controlado por operação motivadora, reforçado pelo item ou ação pedidos), o tato (nomeação controlada por estímulo não verbal, reforçada socialmente), o ecoico (repetição de modelo vocal), o intraverbal (resposta verbal controlada por estímulo verbal sem correspondência ponto a ponto, base da conversa), a transcrição e o textual. A resposta de ouvinte (seleção ou ação sob controle de estímulo verbal) completa o repertório. A mesma palavra pode ser mando, tato ou intraverbal conforme a variável que a controla, e cada função precisa ser ensinada. Isso tem consequência direta para jogos: um jogo de “toque na figura que eu disse” ensina resposta de ouvinte, não tato. Um jogo não consegue, sem reconhecimento de fala confiável, registrar tato ou mando vocal; nesses casos, o tablet apresenta o estímulo e o profissional registra a resposta.</w:t>
      </w:r>
    </w:p>
    <w:p>
      <w:pPr>
        <w:spacing w:after="140" w:before="0" w:line="300"/>
        <w:jc w:val="left"/>
      </w:pPr>
      <w:r>
        <w:t xml:space="preserve">Para crianças sem fala funcional, a Comunicação Aumentativa e Alternativa é uma das 28 práticas baseadas em evidência identificadas pelo National Clearinghouse on Autism Evidence and Practice (Steinbrenner et al., 2020). A plataforma deve oferecer prancha de comunicação integrada, porque o mando é frequentemente o primeiro operante a ser ensinado e a principal alternativa funcional a comportamentos-problema mantidos por acesso a tangíveis.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5E63" w:sz="24"/>
              <w:bottom w:val="none" w:color="FFFFFF" w:sz="0"/>
              <w:right w:val="none" w:color="FFFFFF" w:sz="0"/>
            </w:tcBorders>
            <w:shd w:fill="E0F2F1" w:color="auto" w:val="clear"/>
            <w:tcMar>
              <w:top w:type="dxa" w:w="140"/>
              <w:left w:type="dxa" w:w="220"/>
              <w:bottom w:type="dxa" w:w="120"/>
              <w:right w:type="dxa" w:w="200"/>
            </w:tcMar>
          </w:tcPr>
          <w:p>
            <w:pPr>
              <w:spacing w:after="80"/>
            </w:pPr>
            <w:r>
              <w:rPr>
                <w:b/>
                <w:bCs/>
                <w:color w:val="1B5E63"/>
                <w:sz w:val="20"/>
                <w:szCs w:val="20"/>
              </w:rPr>
              <w:t xml:space="preserve">Implicação no sistema</w:t>
            </w:r>
          </w:p>
          <w:p>
            <w:pPr>
              <w:spacing w:after="70" w:line="280"/>
            </w:pPr>
            <w:r>
              <w:rPr>
                <w:sz w:val="19"/>
                <w:szCs w:val="19"/>
              </w:rPr>
              <w:t xml:space="preserve">O catálogo de alvos classifica cada alvo pelo </w:t>
            </w:r>
            <w:r>
              <w:rPr>
                <w:b/>
                <w:bCs/>
                <w:sz w:val="19"/>
                <w:szCs w:val="19"/>
              </w:rPr>
              <w:t xml:space="preserve">operante</w:t>
            </w:r>
            <w:r>
              <w:rPr>
                <w:sz w:val="19"/>
                <w:szCs w:val="19"/>
              </w:rPr>
              <w:t xml:space="preserve"> ou repertório (mando, tato, ecoico, intraverbal, ouvinte, imitação, pareamento visual, brincar, social, autocuidado, acadêmico). O manifesto de cada jogo declara quais operantes ele consegue apresentar e quais consegue </w:t>
            </w:r>
            <w:r>
              <w:rPr>
                <w:b/>
                <w:bCs/>
                <w:sz w:val="19"/>
                <w:szCs w:val="19"/>
              </w:rPr>
              <w:t xml:space="preserve">pontuar sozinho</w:t>
            </w:r>
            <w:r>
              <w:rPr>
                <w:sz w:val="19"/>
                <w:szCs w:val="19"/>
              </w:rPr>
              <w:t xml:space="preserve">; quando não consegue pontuar, o jogo entra no modo “estímulo na tela, resposta registrada pelo profissional” (Seção 10.5).</w:t>
            </w:r>
          </w:p>
        </w:tc>
      </w:tr>
    </w:tbl>
    <w:p>
      <w:pPr>
        <w:spacing w:after="120"/>
      </w:pPr>
    </w:p>
    <w:p>
      <w:pPr>
        <w:pStyle w:val="Heading2"/>
        <w:keepNext/>
      </w:pPr>
      <w:r>
        <w:t xml:space="preserve">4.3 Modelo Denver de Intervenção Precoce</w:t>
      </w:r>
    </w:p>
    <w:p>
      <w:pPr>
        <w:spacing w:after="140" w:before="0" w:line="300"/>
        <w:jc w:val="left"/>
      </w:pPr>
      <w:r>
        <w:t xml:space="preserve">O ESDM, desenvolvido por Sally Rogers e Geraldine Dawson, é uma Intervenção Comportamental Desenvolvimentista Naturalista (NDBI) desenhada para crianças de 12 a 60 meses. Integra princípios de aprendizagem da ABA com a ciência do desenvolvimento e com abordagens relacionais. Os objetivos são derivados da Lista de Verificação do Currículo do ESDM, organizada em níveis de desenvolvimento e domínios (comunicação receptiva e expressiva, atenção conjunta, imitação, habilidades sociais, brincar, cognição, motricidade fina e grossa, comportamento e independência pessoal). A cada ciclo, geralmente de 12 semanas, a equipe seleciona objetivos trimestrais e os decompõe em passos de aprendizagem.</w:t>
      </w:r>
    </w:p>
    <w:p>
      <w:pPr>
        <w:spacing w:after="140" w:before="0" w:line="300"/>
        <w:jc w:val="left"/>
      </w:pPr>
      <w:r>
        <w:t xml:space="preserve">O ensino acontece em rotinas de atividade conjunta, nas quais adulto e criança constroem uma brincadeira compartilhada com fase de abertura (estabelecer o tema), elaboração (desenvolver e variar o tema para manter o interesse), e fechamento (encerrar e transitar). Rotinas sensório-sociais, centradas no corpo e na interação, regulam o nível de alerta e criam oportunidades de comunicação. O adulto segue a liderança da criança, ocupa posição frontal à altura dos olhos, controla o acesso aos materiais para criar motivação e alterna turnos. Vários objetivos de domínios diferentes são trabalhados dentro da mesma rotina. O registro, no modelo original, é feito em folha de dados diária, com anotação periódica (em intervalos regulares, tipicamente de 15 minutos) do desempenho em cada passo ativo, e o domínio de um passo é decidido por critério de desempenho consistente ao longo de sessões. A fidelidade do terapeuta é avaliada por escala própria.</w:t>
      </w:r>
    </w:p>
    <w:p>
      <w:pPr>
        <w:spacing w:after="140" w:before="0" w:line="300"/>
        <w:jc w:val="left"/>
      </w:pPr>
      <w:r>
        <w:t xml:space="preserve">A evidência é consistente com efeito moderado. Uma meta-análise de 11 ensaios clínicos randomizados com 624 participantes encontrou melhora significativa em cognição (g = 0,28), sintomas de autismo (g = 0,27) e linguagem (g = 0,29), sem efeito significativo para comunicação social (Wang et al., 2022). Um ensaio randomizado multicêntrico europeu com 180 crianças encaminhadas pela comunidade reforça que as NDBIs, entre elas o ESDM, apresentam a evidência mais forte de eficácia em autismo, particularmente em comunicação social (2025). A revisão de Jhuo e Chu (2022) sobre a versão implementada por pais aponta resultados positivos e ressalta que a fidelidade parental atingiu o patamar aceitável em apenas metade dos estudos, o que torna o monitoramento de fidelidade um requisito, e não um adicional.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5E63" w:sz="24"/>
              <w:bottom w:val="none" w:color="FFFFFF" w:sz="0"/>
              <w:right w:val="none" w:color="FFFFFF" w:sz="0"/>
            </w:tcBorders>
            <w:shd w:fill="E0F2F1" w:color="auto" w:val="clear"/>
            <w:tcMar>
              <w:top w:type="dxa" w:w="140"/>
              <w:left w:type="dxa" w:w="220"/>
              <w:bottom w:type="dxa" w:w="120"/>
              <w:right w:type="dxa" w:w="200"/>
            </w:tcMar>
          </w:tcPr>
          <w:p>
            <w:pPr>
              <w:spacing w:after="80"/>
            </w:pPr>
            <w:r>
              <w:rPr>
                <w:b/>
                <w:bCs/>
                <w:color w:val="1B5E63"/>
                <w:sz w:val="20"/>
                <w:szCs w:val="20"/>
              </w:rPr>
              <w:t xml:space="preserve">Implicação no sistema</w:t>
            </w:r>
          </w:p>
          <w:p>
            <w:pPr>
              <w:spacing w:after="70" w:line="280"/>
            </w:pPr>
            <w:r>
              <w:rPr>
                <w:sz w:val="19"/>
                <w:szCs w:val="19"/>
              </w:rPr>
              <w:t xml:space="preserve">Casos Denver usam um </w:t>
            </w:r>
            <w:r>
              <w:rPr>
                <w:b/>
                <w:bCs/>
                <w:sz w:val="19"/>
                <w:szCs w:val="19"/>
              </w:rPr>
              <w:t xml:space="preserve">modo de sessão próprio</w:t>
            </w:r>
            <w:r>
              <w:rPr>
                <w:sz w:val="19"/>
                <w:szCs w:val="19"/>
              </w:rPr>
              <w:t xml:space="preserve">: a tela de aplicação é organizada por rotina de atividade conjunta (com fase de abertura, elaboração e fechamento), mostra os objetivos e passos ativos que cabem naquela rotina, e registra o nível de desempenho por passo em intervalos configuráveis (padrão de 15 minutos). Não existe registro por tentativa discreta em caso Denver.</w:t>
            </w:r>
          </w:p>
          <w:p>
            <w:pPr>
              <w:spacing w:after="70" w:line="280"/>
            </w:pPr>
            <w:r>
              <w:rPr>
                <w:sz w:val="19"/>
                <w:szCs w:val="19"/>
              </w:rPr>
              <w:t xml:space="preserve">A plataforma armazena a </w:t>
            </w:r>
            <w:r>
              <w:rPr>
                <w:b/>
                <w:bCs/>
                <w:sz w:val="19"/>
                <w:szCs w:val="19"/>
              </w:rPr>
              <w:t xml:space="preserve">estrutura</w:t>
            </w:r>
            <w:r>
              <w:rPr>
                <w:sz w:val="19"/>
                <w:szCs w:val="19"/>
              </w:rPr>
              <w:t xml:space="preserve"> do currículo (níveis, domínios, objetivos trimestrais, passos) e os escores registrados pelo profissional. O texto dos itens da Lista de Verificação é material protegido por direito autoral e só pode ser carregado mediante licença (Seção 5.5).</w:t>
            </w:r>
          </w:p>
        </w:tc>
      </w:tr>
    </w:tbl>
    <w:p>
      <w:pPr>
        <w:spacing w:after="120"/>
      </w:pPr>
    </w:p>
    <w:p>
      <w:pPr>
        <w:pStyle w:val="Heading2"/>
        <w:keepNext/>
      </w:pPr>
      <w:r>
        <w:t xml:space="preserve">4.4 Por que o sistema não admite atendimento híbrido</w:t>
      </w:r>
    </w:p>
    <w:p>
      <w:pPr>
        <w:spacing w:after="140" w:before="0" w:line="300"/>
        <w:jc w:val="left"/>
      </w:pPr>
      <w:r>
        <w:t xml:space="preserve">A regra de modelo único por caso é uma escolha clínica e metodológica, não uma restrição arbitrária de software. Três argumentos a sustentam.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48"/>
        <w:gridCol w:w="2536"/>
        <w:gridCol w:w="2536"/>
        <w:gridCol w:w="2918"/>
      </w:tblGrid>
      <w:tr>
        <w:trPr>
          <w:tblHeader/>
        </w:trPr>
        <w:tc>
          <w:tcPr>
            <w:tcW w:type="dxa" w:w="1648"/>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Argumento</w:t>
            </w:r>
          </w:p>
        </w:tc>
        <w:tc>
          <w:tcPr>
            <w:tcW w:type="dxa" w:w="2536"/>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ABA estruturada</w:t>
            </w:r>
          </w:p>
        </w:tc>
        <w:tc>
          <w:tcPr>
            <w:tcW w:type="dxa" w:w="2536"/>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Denver</w:t>
            </w:r>
          </w:p>
        </w:tc>
        <w:tc>
          <w:tcPr>
            <w:tcW w:type="dxa" w:w="2918"/>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Consequência de misturar no mesmo caso</w:t>
            </w:r>
          </w:p>
        </w:tc>
      </w:tr>
      <w:tr>
        <w:trPr>
          <w:cantSplit/>
        </w:trPr>
        <w:tc>
          <w:tcPr>
            <w:tcW w:type="dxa" w:w="164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Unidade de análise</w:t>
            </w:r>
          </w:p>
        </w:tc>
        <w:tc>
          <w:tcPr>
            <w:tcW w:type="dxa" w:w="253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Tentativa, oportunidade, passo de cadeia ou episódio de comportamento</w:t>
            </w:r>
          </w:p>
        </w:tc>
        <w:tc>
          <w:tcPr>
            <w:tcW w:type="dxa" w:w="253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Passo de objetivo trimestral observado em rotina de atividade conjunta</w:t>
            </w:r>
          </w:p>
        </w:tc>
        <w:tc>
          <w:tcPr>
            <w:tcW w:type="dxa" w:w="291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Os gráficos passam a mostrar grandezas diferentes no mesmo eixo; a linha de base deixa de ser comparável</w:t>
            </w:r>
          </w:p>
        </w:tc>
      </w:tr>
      <w:tr>
        <w:trPr>
          <w:cantSplit/>
        </w:trPr>
        <w:tc>
          <w:tcPr>
            <w:tcW w:type="dxa" w:w="164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Lógica de domínio</w:t>
            </w:r>
          </w:p>
        </w:tc>
        <w:tc>
          <w:tcPr>
            <w:tcW w:type="dxa" w:w="253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Critério por alvo (nível de independência e número de sessões), sondas de manutenção e generalização</w:t>
            </w:r>
          </w:p>
        </w:tc>
        <w:tc>
          <w:tcPr>
            <w:tcW w:type="dxa" w:w="253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Passo dominado por desempenho consistente; objetivo trimestral concluído quando todos os passos são dominados; revisão do currículo a cada ciclo</w:t>
            </w:r>
          </w:p>
        </w:tc>
        <w:tc>
          <w:tcPr>
            <w:tcW w:type="dxa" w:w="291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Dois relógios de decisão concorrentes sobre a mesma habilidade, com risco de conclusões contraditórias</w:t>
            </w:r>
          </w:p>
        </w:tc>
      </w:tr>
      <w:tr>
        <w:trPr>
          <w:cantSplit/>
        </w:trPr>
        <w:tc>
          <w:tcPr>
            <w:tcW w:type="dxa" w:w="164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Fidelidade</w:t>
            </w:r>
          </w:p>
        </w:tc>
        <w:tc>
          <w:tcPr>
            <w:tcW w:type="dxa" w:w="253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Integridade de procedimento por componente (apresentação da instrução, dica, consequência, intervalo entre tentativas)</w:t>
            </w:r>
          </w:p>
        </w:tc>
        <w:tc>
          <w:tcPr>
            <w:tcW w:type="dxa" w:w="253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Escala de fidelidade do ESDM sobre a qualidade da interação e o uso das estratégias</w:t>
            </w:r>
          </w:p>
        </w:tc>
        <w:tc>
          <w:tcPr>
            <w:tcW w:type="dxa" w:w="291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Não há como aferir fidelidade a um modelo que não está sendo seguido integralmente</w:t>
            </w:r>
          </w:p>
        </w:tc>
      </w:tr>
    </w:tbl>
    <w:p>
      <w:pPr>
        <w:spacing w:after="120"/>
      </w:pPr>
    </w:p>
    <w:p>
      <w:pPr>
        <w:spacing w:after="140" w:before="0" w:line="300"/>
        <w:jc w:val="left"/>
      </w:pPr>
      <w:r>
        <w:t xml:space="preserve">Na prática, a plataforma implementa o princípio assim: o plano individual tem um campo de modelo obrigatório; a escolha determina quais tipos de sessão, de alvo, de registro e de regra de decisão ficam disponíveis; o banco de dados rejeita, por restrição e gatilho, sessões ou registros incompatíveis com o modelo do plano ativo; e a troca de modelo só ocorre por encerramento formal do plano vigente, com justificativa registrada, e abertura de novo plano com nova linha de base. Recursos compartilhados, como jogos e reforçadores, podem ser usados nos dois modelos, mas o modo de registro segue sempre o modelo do caso.</w:t>
      </w:r>
    </w:p>
    <w:p>
      <w:pPr>
        <w:pStyle w:val="Heading2"/>
        <w:keepNext/>
      </w:pPr>
      <w:r>
        <w:t xml:space="preserve">4.5 Tecnologia como prática baseada em evidência, e seus limites</w:t>
      </w:r>
    </w:p>
    <w:p>
      <w:pPr>
        <w:spacing w:after="140" w:before="0" w:line="300"/>
        <w:jc w:val="left"/>
      </w:pPr>
      <w:r>
        <w:t xml:space="preserve">A Instrução e Intervenção Mediada por Tecnologia (TAII) consta entre as 28 práticas baseadas em evidência do relatório NCAEP de 2020, que abrange do nascimento aos 22 anos (Steinbrenner et al., 2020). Revisões sistemáticas recentes sobre jogos sérios apontam resultados promissores. Carneiro e colaboradores (2024) encontraram melhora em ao menos uma habilidade social em todos os estudos incluídos, com ressalvas importantes: heterogeneidade dos participantes, escopo estreito de evidência e falta de estudos com crianças menores de 5 anos e adolescentes acima de 12 anos. Azadboni e colaboradores (2024) observaram que maior duração da intervenção se associa a mais ganho, que adolescentes se beneficiaram mais, que o contexto educacional ofereceu o melhor suporte estruturado, e que interfaces de toque, mouse ou teclado tiveram efeito maior do que as baseadas em movimento corporal ou voz. Carvalho, Braz e Prates (2024), em revisão publicada no Journal on Interactive Systems, concluíram que não existe metodologia padronizada para avaliar jogos sérios para crianças autistas.</w:t>
      </w:r>
    </w:p>
    <w:p>
      <w:pPr>
        <w:spacing w:after="140" w:before="0" w:line="300"/>
        <w:jc w:val="left"/>
      </w:pPr>
      <w:r>
        <w:t xml:space="preserve">Duas conclusões orientam a plataforma. A primeira é que jogos digitais são um recurso legítimo e, para parte das crianças, especialmente acima dos 5 anos, um canal de ensino eficiente e motivador. A segunda é que a evidência é mais fraca justamente na faixa etária central da intervenção precoce, e que a generalização para fora da tela não pode ser presumida. Por isso o desempenho no jogo é tratado como um dado entre outros, nunca como prova suficiente de aquisição.</w:t>
      </w:r>
    </w:p>
    <w:p>
      <w:pPr>
        <w:pStyle w:val="Heading2"/>
        <w:keepNext/>
      </w:pPr>
      <w:r>
        <w:t xml:space="preserve">4.6 Critérios de domínio</w:t>
      </w:r>
    </w:p>
    <w:p>
      <w:pPr>
        <w:spacing w:after="140" w:before="0" w:line="300"/>
        <w:jc w:val="left"/>
      </w:pPr>
      <w:r>
        <w:t xml:space="preserve">Critério de domínio tem duas dimensões: o nível de desempenho exigido e a frequência de observações nesse nível (Fuller e Fienup, 2018). A prática difundida de “80% em três sessões” tem pouca sustentação empírica direta. Fuller e Fienup compararam critérios de 50%, 80% e 90% e encontraram maior manutenção com o critério mais alto. A revisão descritiva de McDougale e colaboradores (2020) sobre pesquisa aplicada encontrou que grande parte dos estudos não descreve tecnologicamente o critério adotado nem avalia manutenção após a aquisição, e indica que critérios usados por profissionais podem não promover manutenção. Replicações posteriores com critérios mais exigentes, incluindo 100% em três sessões consecutivas, observaram melhor manutenção do que com 80%.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5E63" w:sz="24"/>
              <w:bottom w:val="none" w:color="FFFFFF" w:sz="0"/>
              <w:right w:val="none" w:color="FFFFFF" w:sz="0"/>
            </w:tcBorders>
            <w:shd w:fill="E0F2F1" w:color="auto" w:val="clear"/>
            <w:tcMar>
              <w:top w:type="dxa" w:w="140"/>
              <w:left w:type="dxa" w:w="220"/>
              <w:bottom w:type="dxa" w:w="120"/>
              <w:right w:type="dxa" w:w="200"/>
            </w:tcMar>
          </w:tcPr>
          <w:p>
            <w:pPr>
              <w:spacing w:after="80"/>
            </w:pPr>
            <w:r>
              <w:rPr>
                <w:b/>
                <w:bCs/>
                <w:color w:val="1B5E63"/>
                <w:sz w:val="20"/>
                <w:szCs w:val="20"/>
              </w:rPr>
              <w:t xml:space="preserve">Implicação no sistema</w:t>
            </w:r>
          </w:p>
          <w:p>
            <w:pPr>
              <w:spacing w:after="70" w:line="280"/>
            </w:pPr>
            <w:r>
              <w:rPr>
                <w:sz w:val="19"/>
                <w:szCs w:val="19"/>
              </w:rPr>
              <w:t xml:space="preserve">O critério de domínio é um </w:t>
            </w:r>
            <w:r>
              <w:rPr>
                <w:b/>
                <w:bCs/>
                <w:sz w:val="19"/>
                <w:szCs w:val="19"/>
              </w:rPr>
              <w:t xml:space="preserve">objeto configurável por alvo</w:t>
            </w:r>
            <w:r>
              <w:rPr>
                <w:sz w:val="19"/>
                <w:szCs w:val="19"/>
              </w:rPr>
              <w:t xml:space="preserve">, com quatro componentes: nível (percentual de corretas independentes), frequência (número de sessões, consecutivas ou não), condições (por exemplo, pelo menos duas pessoas ou dois ambientes) e etapa seguinte (manutenção com sondas espaçadas e generalização). A plataforma oferece como padrão sugerido 90% de respostas independentes em duas sessões consecutivas com no mínimo 10 oportunidades cada, seguido de sondas de manutenção em 1, 2 e 4 semanas, e permite ao supervisor alterar caso a caso. O padrão é sinalizado na interface como ponto de partida, não como regra científica.</w:t>
            </w:r>
          </w:p>
        </w:tc>
      </w:tr>
    </w:tbl>
    <w:p>
      <w:pPr>
        <w:spacing w:after="120"/>
      </w:pPr>
    </w:p>
    <w:p>
      <w:pPr>
        <w:pStyle w:val="Heading2"/>
        <w:keepNext/>
      </w:pPr>
      <w:r>
        <w:t xml:space="preserve">4.7 Análise visual estruturada</w:t>
      </w:r>
    </w:p>
    <w:p>
      <w:pPr>
        <w:spacing w:after="140" w:before="0" w:line="300"/>
        <w:jc w:val="left"/>
      </w:pPr>
      <w:r>
        <w:t xml:space="preserve">A análise visual é o método primário de interpretação em delineamentos de caso único, mas a concordância entre avaliadores é limitada. Fisher, Kelley e Lomas (2003) propuseram os métodos de critério duplo (DC) e de critério duplo conservador (CDC), que projetam a média e a linha de tendência da fase de linha de base sobre a fase de intervenção (no CDC, deslocadas em 0,25 desvio-padrão) e verificam, por teste binomial, se um número suficiente de pontos da nova fase supera ambas as linhas. O método reduziu falsos positivos em simulação e é usado como apoio ao julgamento visual. A implementação está disponível, por exemplo, no pacote R </w:t>
      </w:r>
      <w:r>
        <w:rPr>
          <w:rFonts w:ascii="Courier New" w:cs="Courier New" w:eastAsia="Courier New" w:hAnsi="Courier New"/>
          <w:sz w:val="19"/>
          <w:szCs w:val="19"/>
        </w:rPr>
        <w:t xml:space="preserve">scan</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5E63" w:sz="24"/>
              <w:bottom w:val="none" w:color="FFFFFF" w:sz="0"/>
              <w:right w:val="none" w:color="FFFFFF" w:sz="0"/>
            </w:tcBorders>
            <w:shd w:fill="E0F2F1" w:color="auto" w:val="clear"/>
            <w:tcMar>
              <w:top w:type="dxa" w:w="140"/>
              <w:left w:type="dxa" w:w="220"/>
              <w:bottom w:type="dxa" w:w="120"/>
              <w:right w:type="dxa" w:w="200"/>
            </w:tcMar>
          </w:tcPr>
          <w:p>
            <w:pPr>
              <w:spacing w:after="80"/>
            </w:pPr>
            <w:r>
              <w:rPr>
                <w:b/>
                <w:bCs/>
                <w:color w:val="1B5E63"/>
                <w:sz w:val="20"/>
                <w:szCs w:val="20"/>
              </w:rPr>
              <w:t xml:space="preserve">Implicação no sistema</w:t>
            </w:r>
          </w:p>
          <w:p>
            <w:pPr>
              <w:spacing w:after="70" w:line="280"/>
            </w:pPr>
            <w:r>
              <w:rPr>
                <w:sz w:val="19"/>
                <w:szCs w:val="19"/>
              </w:rPr>
              <w:t xml:space="preserve">Os gráficos de alvo exibem, a pedido, as linhas do CDC entre fases adjacentes e indicam se a mudança é sistemática segundo o critério. O resultado aparece como </w:t>
            </w:r>
            <w:r>
              <w:rPr>
                <w:b/>
                <w:bCs/>
                <w:sz w:val="19"/>
                <w:szCs w:val="19"/>
              </w:rPr>
              <w:t xml:space="preserve">apoio à análise visual</w:t>
            </w:r>
            <w:r>
              <w:rPr>
                <w:sz w:val="19"/>
                <w:szCs w:val="19"/>
              </w:rPr>
              <w:t xml:space="preserve">, com a explicação do método acessível ao lado, e nunca substitui a decisão do supervisor.</w:t>
            </w:r>
          </w:p>
        </w:tc>
      </w:tr>
    </w:tbl>
    <w:p>
      <w:pPr>
        <w:spacing w:after="120"/>
      </w:pPr>
    </w:p>
    <w:p>
      <w:pPr>
        <w:pStyle w:val="Heading2"/>
        <w:keepNext/>
      </w:pPr>
      <w:r>
        <w:t xml:space="preserve">4.8 Avaliação de preferência e reforçadores</w:t>
      </w:r>
    </w:p>
    <w:p>
      <w:pPr>
        <w:spacing w:after="140" w:before="0" w:line="300"/>
        <w:jc w:val="left"/>
      </w:pPr>
      <w:r>
        <w:t xml:space="preserve">A identificação sistemática de reforçadores é condição para o ensino em ambos os modelos. A avaliação de estímulos múltiplos sem reposição (MSWO; DeLeon e Iwata, 1996) produz uma hierarquia de preferência em poucos minutos. Versões digitais se mostraram válidas em vários estudos: uma ferramenta web de MSWO identificou hierarquias de vídeos que funcionaram como reforçadores em crianças pequenas com autismo (Curiel et al., 2024), e um MSWO em formato de vídeo correspondeu ao MSWO com objetos reais em três de quatro crianças (Snyder et al., 2012). Há, porém, um pré-requisito: Morris e Vollmer (2020) mostraram que o MSWO com figuras produziu hierarquias válidas principalmente para participantes capazes de parear, identificar e nomear as figuras, enquanto quem não tinha esse repertório se beneficiou de formatos que amostram o item ou a interação diretamente.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5E63" w:sz="24"/>
              <w:bottom w:val="none" w:color="FFFFFF" w:sz="0"/>
              <w:right w:val="none" w:color="FFFFFF" w:sz="0"/>
            </w:tcBorders>
            <w:shd w:fill="E0F2F1" w:color="auto" w:val="clear"/>
            <w:tcMar>
              <w:top w:type="dxa" w:w="140"/>
              <w:left w:type="dxa" w:w="220"/>
              <w:bottom w:type="dxa" w:w="120"/>
              <w:right w:type="dxa" w:w="200"/>
            </w:tcMar>
          </w:tcPr>
          <w:p>
            <w:pPr>
              <w:spacing w:after="80"/>
            </w:pPr>
            <w:r>
              <w:rPr>
                <w:b/>
                <w:bCs/>
                <w:color w:val="1B5E63"/>
                <w:sz w:val="20"/>
                <w:szCs w:val="20"/>
              </w:rPr>
              <w:t xml:space="preserve">Implicação no sistema</w:t>
            </w:r>
          </w:p>
          <w:p>
            <w:pPr>
              <w:spacing w:after="70" w:line="280"/>
            </w:pPr>
            <w:r>
              <w:rPr>
                <w:sz w:val="19"/>
                <w:szCs w:val="19"/>
              </w:rPr>
              <w:t xml:space="preserve">O módulo de reforçadores oferece MSWO, pareado e operante livre, em formato digital e presencial. O MSWO digital com figuras só é liberado depois de uma sonda breve de pareamento e identificação de figuras registrada para a criança; sem ela, a plataforma conduz o profissional ao formato presencial com objetos. Resultados de preferência têm validade temporal (padrão de 7 dias) e a plataforma alerta para saciação quando a taxa de escolha de um item cai entre sessões.</w:t>
            </w:r>
          </w:p>
        </w:tc>
      </w:tr>
    </w:tbl>
    <w:p>
      <w:pPr>
        <w:spacing w:after="120"/>
      </w:pPr>
    </w:p>
    <w:p>
      <w:pPr>
        <w:pStyle w:val="Heading2"/>
        <w:keepNext/>
      </w:pPr>
      <w:r>
        <w:t xml:space="preserve">4.9 Fidelidade de procedimento</w:t>
      </w:r>
    </w:p>
    <w:p>
      <w:pPr>
        <w:spacing w:after="140" w:before="0" w:line="300"/>
        <w:jc w:val="left"/>
      </w:pPr>
      <w:r>
        <w:t xml:space="preserve">Fidelidade é o grau em que o procedimento é aplicado como planejado. Um guia recente para profissionais propõe seis passos: decompor o procedimento em unidades mensuráveis, atribuir medidas a cada componente, planejar a observação direta, coletar, analisar e interpretar os dados e agir para melhorar a fidelidade (Behavior Analysis in Practice, 2024). Levantamentos com analistas do comportamento indicam que a observação e o feedback são frequentes, mas que falta de treinamento, de tempo e de sistemas estabelecidos são barreiras para coletar, acompanhar e analisar dados de fidelidade (Behavior Analysis in Practice, 2024). Esse é um ponto em que software pode mudar a prática: se o checklist de fidelidade já está pronto, derivado do próprio procedimento do alvo, o custo de registrar cai a quase zero.</w:t>
      </w:r>
    </w:p>
    <w:p>
      <w:pPr>
        <w:pStyle w:val="Heading2"/>
        <w:keepNext/>
      </w:pPr>
      <w:r>
        <w:t xml:space="preserve">4.10 Tempo de tela na primeira infância</w:t>
      </w:r>
    </w:p>
    <w:p>
      <w:pPr>
        <w:spacing w:after="140" w:before="0" w:line="300"/>
        <w:jc w:val="left"/>
      </w:pPr>
      <w:r>
        <w:t xml:space="preserve">A atualização de 2024 do manual da Sociedade Brasileira de Pediatria recomenda evitar telas antes dos 2 anos, inclusive a exposição passiva; limitar a uma hora diária entre 2 e 5 anos, com supervisão; de uma a duas horas entre 6 e 10 anos; e de duas a três horas entre 11 e 18 anos. A Organização Mundial da Saúde, em diretriz para menores de 5 anos, alinha-se a essa orientação. Levantamento divulgado em dezembro de 2025 pelo Núcleo Ciência pela Infância indicou que 78% das crianças de 0 a 3 anos estão expostas a telas diariamente, apesar de os cuidadores reconhecerem a importância de limites.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07D1E" w:sz="24"/>
              <w:bottom w:val="none" w:color="FFFFFF" w:sz="0"/>
              <w:right w:val="none" w:color="FFFFFF" w:sz="0"/>
            </w:tcBorders>
            <w:shd w:fill="FBF6EB" w:color="auto" w:val="clear"/>
            <w:tcMar>
              <w:top w:type="dxa" w:w="140"/>
              <w:left w:type="dxa" w:w="220"/>
              <w:bottom w:type="dxa" w:w="120"/>
              <w:right w:type="dxa" w:w="200"/>
            </w:tcMar>
          </w:tcPr>
          <w:p>
            <w:pPr>
              <w:spacing w:after="80"/>
            </w:pPr>
            <w:r>
              <w:rPr>
                <w:b/>
                <w:bCs/>
                <w:color w:val="B07D1E"/>
                <w:sz w:val="20"/>
                <w:szCs w:val="20"/>
              </w:rPr>
              <w:t xml:space="preserve">Implicação no sistema</w:t>
            </w:r>
          </w:p>
          <w:p>
            <w:pPr>
              <w:spacing w:after="70" w:line="280"/>
            </w:pPr>
            <w:r>
              <w:rPr>
                <w:sz w:val="19"/>
                <w:szCs w:val="19"/>
              </w:rPr>
              <w:t xml:space="preserve">Abaixo de 24 meses, o portal infantil </w:t>
            </w:r>
            <w:r>
              <w:rPr>
                <w:b/>
                <w:bCs/>
                <w:sz w:val="19"/>
                <w:szCs w:val="19"/>
              </w:rPr>
              <w:t xml:space="preserve">não é oferecido</w:t>
            </w:r>
            <w:r>
              <w:rPr>
                <w:sz w:val="19"/>
                <w:szCs w:val="19"/>
              </w:rPr>
              <w:t xml:space="preserve">. O profissional usa a plataforma para planejar e registrar, e a família recebe orientações e vídeos curtos de modelagem destinados ao adulto, não à criança.</w:t>
            </w:r>
          </w:p>
          <w:p>
            <w:pPr>
              <w:spacing w:after="70" w:line="280"/>
            </w:pPr>
            <w:r>
              <w:rPr>
                <w:sz w:val="19"/>
                <w:szCs w:val="19"/>
              </w:rPr>
              <w:t xml:space="preserve">Entre 2 e 5 anos, cada sessão com atividade em tela tem duração máxima configurada (padrão de 10 minutos por bloco), exige profissional ou responsável presente e é somada a um medidor diário por criança. Entre 6 e 12 anos e na adolescência, os limites padrão acompanham a SBP e podem ser ajustados pelo responsável técnico, com justificativa.</w:t>
            </w:r>
          </w:p>
          <w:p>
            <w:pPr>
              <w:spacing w:after="70" w:line="280"/>
            </w:pPr>
            <w:r>
              <w:rPr>
                <w:sz w:val="19"/>
                <w:szCs w:val="19"/>
              </w:rPr>
              <w:t xml:space="preserve">Tela usada como reforçador é sempre temporizada, com aviso visual de término e transição planejada, para não transformar o fim do acesso em gatilho de comportamento-problema.</w:t>
            </w:r>
          </w:p>
        </w:tc>
      </w:tr>
    </w:tbl>
    <w:p>
      <w:pPr>
        <w:spacing w:after="120"/>
      </w:pPr>
    </w:p>
    <w:p>
      <w:pPr>
        <w:pStyle w:val="Heading1"/>
        <w:pageBreakBefore/>
      </w:pPr>
      <w:r>
        <w:t xml:space="preserve">5. Marco regulatório, ético e de licenciamento</w:t>
      </w:r>
    </w:p>
    <w:p>
      <w:pPr>
        <w:spacing w:after="140" w:before="0" w:line="300"/>
        <w:jc w:val="left"/>
      </w:pPr>
      <w:r>
        <w:t xml:space="preserve">A plataforma trata dados de saúde de crianças e adolescentes, produz registro documental de serviço psicológico e oferece produto digital de provável acesso por menores. Isso a coloca sob a interseção de quatro conjuntos normativos. Esta seção não substitui parecer jurídico; ela traduz as obrigações conhecidas em requisitos de sistema.</w:t>
      </w:r>
    </w:p>
    <w:p>
      <w:pPr>
        <w:pStyle w:val="Heading2"/>
        <w:keepNext/>
      </w:pPr>
      <w:r>
        <w:t xml:space="preserve">5.1 LGPD e o tratamento de dados de crianças</w:t>
      </w:r>
    </w:p>
    <w:p>
      <w:pPr>
        <w:spacing w:after="140" w:before="0" w:line="300"/>
        <w:jc w:val="left"/>
      </w:pPr>
      <w:r>
        <w:t xml:space="preserve">Dados referentes à saúde são dados pessoais sensíveis (art. 5º, II, e art. 11 da Lei 13.709/2018). O art. 14 estabelece que o tratamento de dados de crianças e adolescentes deve ser realizado em seu melhor interesse e, no § 1º, prevê consentimento específico e em destaque de pelo menos um dos pais ou responsável. O Enunciado CD/ANPD nº 1, de 22 de maio de 2023, pacificou a interpretação: o tratamento de dados de crianças e adolescentes pode se apoiar nas hipóteses legais dos arts. 7º e 11, desde que observado e prevalecente o melhor interesse. Para a plataforma, isso significa que a base legal do prontuário pode ser a tutela da saúde e o cumprimento de obrigação legal ou regulatória (guarda do registro documental), enquanto usos não essenciais, como pesquisa ou uso de imagem da criança em material de estímulo, exigem consentimento específico e destacado do responsável, separado do contrato de serviço.</w:t>
      </w:r>
    </w:p>
    <w:p>
      <w:pPr>
        <w:pStyle w:val="Heading2"/>
        <w:keepNext/>
      </w:pPr>
      <w:r>
        <w:t xml:space="preserve">5.2 ECA Digital (Lei 15.211/2025)</w:t>
      </w:r>
    </w:p>
    <w:p>
      <w:pPr>
        <w:spacing w:after="140" w:before="0" w:line="300"/>
        <w:jc w:val="left"/>
      </w:pPr>
      <w:r>
        <w:t xml:space="preserve">Sancionado em 17 de setembro de 2025 e em vigor desde 17 de março de 2026, o Estatuto Digital da Criança e do Adolescente alcança aplicativos, jogos e plataformas direcionados ou de provável acesso por menores de 18 anos. Entre as obrigações destacadas pela literatura jurídica estão a vedação integral de caixas de recompensa em jogos eletrônicos direcionados ou de provável acesso por crianças e adolescentes, a proibição de perfilamento para direcionamento de publicidade comercial (incluindo o uso de análise emocional para esse fim), mecanismos de supervisão parental e avaliação de riscos à segurança e à saúde do público infantojuvenil. A fiscalização cabe à ANPD.</w:t>
      </w:r>
    </w:p>
    <w:p>
      <w:pPr>
        <w:spacing w:after="140" w:before="0" w:line="300"/>
        <w:jc w:val="left"/>
      </w:pPr>
      <w:r>
        <w:t xml:space="preserve">A plataforma não tem publicidade nem compras, o que afasta os riscos mais evidentes, mas duas decisões de design decorrem diretamente da lei. Primeiro, nenhum reforçador digital pode ser entregue como caixa-surpresa ou sorteio de item desconhecido, mesmo sem dinheiro envolvido; esquemas de reforçamento variável continuam possíveis como ferramenta clínica, mas o que se entrega é conhecido e escolhido. Segundo, os dados de comportamento coletados nos jogos servem exclusivamente à finalidade clínica e nunca alimentam perfis para qualquer outra finalidade.</w:t>
      </w:r>
    </w:p>
    <w:p>
      <w:pPr>
        <w:pStyle w:val="Heading2"/>
        <w:keepNext/>
      </w:pPr>
      <w:r>
        <w:t xml:space="preserve">5.3 Normas do Conselho Federal de Psicologia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82"/>
        <w:gridCol w:w="3804"/>
        <w:gridCol w:w="3552"/>
      </w:tblGrid>
      <w:tr>
        <w:trPr>
          <w:tblHeader/>
        </w:trPr>
        <w:tc>
          <w:tcPr>
            <w:tcW w:type="dxa" w:w="2282"/>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Norma</w:t>
            </w:r>
          </w:p>
        </w:tc>
        <w:tc>
          <w:tcPr>
            <w:tcW w:type="dxa" w:w="3804"/>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Conteúdo relevante</w:t>
            </w:r>
          </w:p>
        </w:tc>
        <w:tc>
          <w:tcPr>
            <w:tcW w:type="dxa" w:w="3552"/>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Requisito de sistema</w:t>
            </w:r>
          </w:p>
        </w:tc>
      </w:tr>
      <w:tr>
        <w:trPr>
          <w:cantSplit/>
        </w:trPr>
        <w:tc>
          <w:tcPr>
            <w:tcW w:type="dxa" w:w="228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Código de Ética Profissional (Res. CFP 10/2005)</w:t>
            </w:r>
          </w:p>
        </w:tc>
        <w:tc>
          <w:tcPr>
            <w:tcW w:type="dxa" w:w="380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Sigilo profissional; respeito à autonomia; compartilhamento apenas do estritamente necessário</w:t>
            </w:r>
          </w:p>
        </w:tc>
        <w:tc>
          <w:tcPr>
            <w:tcW w:type="dxa" w:w="355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Separação entre notas clínicas internas e relatório para a família; compartilhamento com escola só por autorização explícita e com conteúdo limitado</w:t>
            </w:r>
          </w:p>
        </w:tc>
      </w:tr>
      <w:tr>
        <w:trPr>
          <w:cantSplit/>
        </w:trPr>
        <w:tc>
          <w:tcPr>
            <w:tcW w:type="dxa" w:w="228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Res. CFP 01/2009</w:t>
            </w:r>
          </w:p>
        </w:tc>
        <w:tc>
          <w:tcPr>
            <w:tcW w:type="dxa" w:w="3804"/>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Obrigatoriedade do registro documental; guarda pelo psicólogo e/ou instituição por no mínimo 5 anos; em serviço multiprofissional, prontuário único</w:t>
            </w:r>
          </w:p>
        </w:tc>
        <w:tc>
          <w:tcPr>
            <w:tcW w:type="dxa" w:w="355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Registro de evolução por sessão; encerramento e encaminhamento registrados; prontuário único por caso quando a equipe é multiprofissional</w:t>
            </w:r>
          </w:p>
        </w:tc>
      </w:tr>
      <w:tr>
        <w:trPr>
          <w:cantSplit/>
        </w:trPr>
        <w:tc>
          <w:tcPr>
            <w:tcW w:type="dxa" w:w="228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Lei 13.787/2018</w:t>
            </w:r>
          </w:p>
        </w:tc>
        <w:tc>
          <w:tcPr>
            <w:tcW w:type="dxa" w:w="380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Digitalização e guarda de prontuário eletrônico; conselhos regionais indicam prazo mínimo de 20 anos a partir do último registro</w:t>
            </w:r>
          </w:p>
        </w:tc>
        <w:tc>
          <w:tcPr>
            <w:tcW w:type="dxa" w:w="355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Política de retenção de 20 anos para prontuário; bloqueio de exclusão antes do prazo, mesmo a pedido, com explicação ao titular</w:t>
            </w:r>
          </w:p>
        </w:tc>
      </w:tr>
      <w:tr>
        <w:trPr>
          <w:cantSplit/>
        </w:trPr>
        <w:tc>
          <w:tcPr>
            <w:tcW w:type="dxa" w:w="228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Res. CFP 06/2019</w:t>
            </w:r>
          </w:p>
        </w:tc>
        <w:tc>
          <w:tcPr>
            <w:tcW w:type="dxa" w:w="3804"/>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Elaboração de documentos escritos produzidos pela psicóloga (relatório, laudo, parecer, declaração, atestado)</w:t>
            </w:r>
          </w:p>
        </w:tc>
        <w:tc>
          <w:tcPr>
            <w:tcW w:type="dxa" w:w="355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Modelos de documento estruturados segundo a resolução; documento finalizado vira versão imutável com autor e data</w:t>
            </w:r>
          </w:p>
        </w:tc>
      </w:tr>
      <w:tr>
        <w:trPr>
          <w:cantSplit/>
        </w:trPr>
        <w:tc>
          <w:tcPr>
            <w:tcW w:type="dxa" w:w="228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Res. CFP 09/2024</w:t>
            </w:r>
          </w:p>
        </w:tc>
        <w:tc>
          <w:tcPr>
            <w:tcW w:type="dxa" w:w="380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Regulamenta o exercício profissional mediado por tecnologias digitais e revoga as Res. 11/2018 e 04/2020; instrumentos usados devem ser regulamentados, e testes psicológicos exigem parecer favorável do SATEPSI</w:t>
            </w:r>
          </w:p>
        </w:tc>
        <w:tc>
          <w:tcPr>
            <w:tcW w:type="dxa" w:w="355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Contrato de serviço contemplando o uso da plataforma; nenhum teste psicológico aplicado pela plataforma sem parecer favorável; instrumentos de rastreio tratados com cautela (lacuna L6)</w:t>
            </w:r>
          </w:p>
        </w:tc>
      </w:tr>
    </w:tbl>
    <w:p>
      <w:pPr>
        <w:spacing w:after="120"/>
      </w:pPr>
    </w:p>
    <w:p>
      <w:pPr>
        <w:pStyle w:val="Heading2"/>
        <w:keepNext/>
      </w:pPr>
      <w:r>
        <w:t xml:space="preserve">5.4 Supervisão e escopo de atuação</w:t>
      </w:r>
    </w:p>
    <w:p>
      <w:pPr>
        <w:spacing w:after="140" w:before="0" w:line="300"/>
        <w:jc w:val="left"/>
      </w:pPr>
      <w:r>
        <w:t xml:space="preserve">A plataforma registra quem planejou, quem aplicou e quem supervisionou cada atividade. Esse registro serve à responsabilidade técnica perante o conselho e à qualidade do serviço. A plataforma não deve sugerir, por design, que um aplicador sem formação adequada possa planejar intervenção sozinho: as permissões de edição de plano e de aprovação de mudança de fase pertencem ao perfil de supervisão.</w:t>
      </w:r>
    </w:p>
    <w:p>
      <w:pPr>
        <w:pStyle w:val="Heading2"/>
        <w:keepNext/>
      </w:pPr>
      <w:r>
        <w:t xml:space="preserve">5.5 Licenças de instrumentos e de materiais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82"/>
        <w:gridCol w:w="3297"/>
        <w:gridCol w:w="4059"/>
      </w:tblGrid>
      <w:tr>
        <w:trPr>
          <w:tblHeader/>
        </w:trPr>
        <w:tc>
          <w:tcPr>
            <w:tcW w:type="dxa" w:w="2282"/>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Item</w:t>
            </w:r>
          </w:p>
        </w:tc>
        <w:tc>
          <w:tcPr>
            <w:tcW w:type="dxa" w:w="3297"/>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Situação</w:t>
            </w:r>
          </w:p>
        </w:tc>
        <w:tc>
          <w:tcPr>
            <w:tcW w:type="dxa" w:w="4059"/>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Como a plataforma deve tratar</w:t>
            </w:r>
          </w:p>
        </w:tc>
      </w:tr>
      <w:tr>
        <w:trPr>
          <w:cantSplit/>
        </w:trPr>
        <w:tc>
          <w:tcPr>
            <w:tcW w:type="dxa" w:w="228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Lista de Verificação do Currículo do ESDM</w:t>
            </w:r>
          </w:p>
        </w:tc>
        <w:tc>
          <w:tcPr>
            <w:tcW w:type="dxa" w:w="329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Material publicado com direitos autorais (Rogers e Dawson; edição em português disponível)</w:t>
            </w:r>
          </w:p>
        </w:tc>
        <w:tc>
          <w:tcPr>
            <w:tcW w:type="dxa" w:w="405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Armazenar estrutura e escores lançados pelo profissional; textos dos itens só com licença do detentor dos direitos</w:t>
            </w:r>
          </w:p>
        </w:tc>
      </w:tr>
      <w:tr>
        <w:trPr>
          <w:cantSplit/>
        </w:trPr>
        <w:tc>
          <w:tcPr>
            <w:tcW w:type="dxa" w:w="228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VB-MAPP, ABLLS-R e similares</w:t>
            </w:r>
          </w:p>
        </w:tc>
        <w:tc>
          <w:tcPr>
            <w:tcW w:type="dxa" w:w="329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Instrumentos protegidos por direitos autorais</w:t>
            </w:r>
          </w:p>
        </w:tc>
        <w:tc>
          <w:tcPr>
            <w:tcW w:type="dxa" w:w="405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Mesmo tratamento: campos para escore e marcos, sem reprodução de itens sem licença</w:t>
            </w:r>
          </w:p>
        </w:tc>
      </w:tr>
      <w:tr>
        <w:trPr>
          <w:cantSplit/>
        </w:trPr>
        <w:tc>
          <w:tcPr>
            <w:tcW w:type="dxa" w:w="228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Pictogramas ARASAAC</w:t>
            </w:r>
          </w:p>
        </w:tc>
        <w:tc>
          <w:tcPr>
            <w:tcW w:type="dxa" w:w="329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Propriedade do Governo de Aragão, licença Creative Commons BY-NC-SA, API pública disponível</w:t>
            </w:r>
          </w:p>
        </w:tc>
        <w:tc>
          <w:tcPr>
            <w:tcW w:type="dxa" w:w="405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Uso permitido apenas em contexto não comercial. Se a plataforma for comercializada por assinatura, não pode depender do ARASAAC sem autorização específica</w:t>
            </w:r>
          </w:p>
        </w:tc>
      </w:tr>
      <w:tr>
        <w:trPr>
          <w:cantSplit/>
        </w:trPr>
        <w:tc>
          <w:tcPr>
            <w:tcW w:type="dxa" w:w="228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Símbolos Mulberry</w:t>
            </w:r>
          </w:p>
        </w:tc>
        <w:tc>
          <w:tcPr>
            <w:tcW w:type="dxa" w:w="329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Licença CC BY-SA 4.0, cerca de 3.000 símbolos em SVG</w:t>
            </w:r>
          </w:p>
        </w:tc>
        <w:tc>
          <w:tcPr>
            <w:tcW w:type="dxa" w:w="405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Compatível com uso comercial, com atribuição e compartilhamento das derivações sob a mesma licença</w:t>
            </w:r>
          </w:p>
        </w:tc>
      </w:tr>
      <w:tr>
        <w:trPr>
          <w:cantSplit/>
        </w:trPr>
        <w:tc>
          <w:tcPr>
            <w:tcW w:type="dxa" w:w="228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Formato Open Board (OBF/OBZ)</w:t>
            </w:r>
          </w:p>
        </w:tc>
        <w:tc>
          <w:tcPr>
            <w:tcW w:type="dxa" w:w="329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Formato aberto de pranchas de comunicação, usado por ferramentas como Cboard e Board Builder da Global Symbols</w:t>
            </w:r>
          </w:p>
        </w:tc>
        <w:tc>
          <w:tcPr>
            <w:tcW w:type="dxa" w:w="405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Adotar para importação e exportação de pranchas, garantindo portabilidade da comunicação da criança</w:t>
            </w:r>
          </w:p>
        </w:tc>
      </w:tr>
      <w:tr>
        <w:trPr>
          <w:cantSplit/>
        </w:trPr>
        <w:tc>
          <w:tcPr>
            <w:tcW w:type="dxa" w:w="228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Músicas e cantigas</w:t>
            </w:r>
          </w:p>
        </w:tc>
        <w:tc>
          <w:tcPr>
            <w:tcW w:type="dxa" w:w="329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Letras e melodias podem ser protegidas</w:t>
            </w:r>
          </w:p>
        </w:tc>
        <w:tc>
          <w:tcPr>
            <w:tcW w:type="dxa" w:w="405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Usar repertório de domínio público ou composições próprias em atividades intraverbais e rotinas musicais</w:t>
            </w:r>
          </w:p>
        </w:tc>
      </w:tr>
      <w:tr>
        <w:trPr>
          <w:cantSplit/>
        </w:trPr>
        <w:tc>
          <w:tcPr>
            <w:tcW w:type="dxa" w:w="228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Personagens e marcas</w:t>
            </w:r>
          </w:p>
        </w:tc>
        <w:tc>
          <w:tcPr>
            <w:tcW w:type="dxa" w:w="329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Protegidos</w:t>
            </w:r>
          </w:p>
        </w:tc>
        <w:tc>
          <w:tcPr>
            <w:tcW w:type="dxa" w:w="405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Não usar personagens de terceiros em jogos ou estímulos, mesmo que sejam reforçadores da criança; usar personagens próprios</w:t>
            </w:r>
          </w:p>
        </w:tc>
      </w:tr>
    </w:tbl>
    <w:p>
      <w:pPr>
        <w:spacing w:after="120"/>
      </w:pPr>
    </w:p>
    <w:p>
      <w:pPr>
        <w:pStyle w:val="Heading2"/>
        <w:keepNext/>
      </w:pPr>
      <w:r>
        <w:t xml:space="preserve">5.6 Quadro-síntese de conformidade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82"/>
        <w:gridCol w:w="4819"/>
        <w:gridCol w:w="2537"/>
      </w:tblGrid>
      <w:tr>
        <w:trPr>
          <w:tblHeader/>
        </w:trPr>
        <w:tc>
          <w:tcPr>
            <w:tcW w:type="dxa" w:w="2282"/>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Obrigação</w:t>
            </w:r>
          </w:p>
        </w:tc>
        <w:tc>
          <w:tcPr>
            <w:tcW w:type="dxa" w:w="4819"/>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Controle no sistema</w:t>
            </w:r>
          </w:p>
        </w:tc>
        <w:tc>
          <w:tcPr>
            <w:tcW w:type="dxa" w:w="2537"/>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Onde está especificado</w:t>
            </w:r>
          </w:p>
        </w:tc>
      </w:tr>
      <w:tr>
        <w:trPr>
          <w:cantSplit/>
        </w:trPr>
        <w:tc>
          <w:tcPr>
            <w:tcW w:type="dxa" w:w="228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Melhor interesse da criança</w:t>
            </w:r>
          </w:p>
        </w:tc>
        <w:tc>
          <w:tcPr>
            <w:tcW w:type="dxa" w:w="481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Relatório de impacto à proteção de dados; revisão clínica de cada novo jogo; ausência de mecânicas de engajamento predatórias</w:t>
            </w:r>
          </w:p>
        </w:tc>
        <w:tc>
          <w:tcPr>
            <w:tcW w:type="dxa" w:w="253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Seções 2.2 (P7), 9.7 e 12</w:t>
            </w:r>
          </w:p>
        </w:tc>
      </w:tr>
      <w:tr>
        <w:trPr>
          <w:cantSplit/>
        </w:trPr>
        <w:tc>
          <w:tcPr>
            <w:tcW w:type="dxa" w:w="228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Base legal e consentimento</w:t>
            </w:r>
          </w:p>
        </w:tc>
        <w:tc>
          <w:tcPr>
            <w:tcW w:type="dxa" w:w="481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Registro de base legal por finalidade; consentimentos específicos, versionados e revogáveis do responsável</w:t>
            </w:r>
          </w:p>
        </w:tc>
        <w:tc>
          <w:tcPr>
            <w:tcW w:type="dxa" w:w="253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Módulo M1, Seção 6</w:t>
            </w:r>
          </w:p>
        </w:tc>
      </w:tr>
      <w:tr>
        <w:trPr>
          <w:cantSplit/>
        </w:trPr>
        <w:tc>
          <w:tcPr>
            <w:tcW w:type="dxa" w:w="228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Minimização</w:t>
            </w:r>
          </w:p>
        </w:tc>
        <w:tc>
          <w:tcPr>
            <w:tcW w:type="dxa" w:w="481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Família vê relatório, não prontuário; escola vê orientação, não dados; administração não vê conteúdo clínico por padrão</w:t>
            </w:r>
          </w:p>
        </w:tc>
        <w:tc>
          <w:tcPr>
            <w:tcW w:type="dxa" w:w="253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Seções 2.3 e 7.6</w:t>
            </w:r>
          </w:p>
        </w:tc>
      </w:tr>
      <w:tr>
        <w:trPr>
          <w:cantSplit/>
        </w:trPr>
        <w:tc>
          <w:tcPr>
            <w:tcW w:type="dxa" w:w="228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Segurança</w:t>
            </w:r>
          </w:p>
        </w:tc>
        <w:tc>
          <w:tcPr>
            <w:tcW w:type="dxa" w:w="481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RLS, criptografia em repouso e em trânsito, criptografia de colunas sensíveis, trilha de auditoria de leitura, sessão infantil por token</w:t>
            </w:r>
          </w:p>
        </w:tc>
        <w:tc>
          <w:tcPr>
            <w:tcW w:type="dxa" w:w="253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Seção 12.5</w:t>
            </w:r>
          </w:p>
        </w:tc>
      </w:tr>
      <w:tr>
        <w:trPr>
          <w:cantSplit/>
        </w:trPr>
        <w:tc>
          <w:tcPr>
            <w:tcW w:type="dxa" w:w="228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Direitos do titular</w:t>
            </w:r>
          </w:p>
        </w:tc>
        <w:tc>
          <w:tcPr>
            <w:tcW w:type="dxa" w:w="481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Exportação do prontuário em formato legível; correção por adendo; exclusão bloqueada durante o prazo legal de guarda, com justificativa</w:t>
            </w:r>
          </w:p>
        </w:tc>
        <w:tc>
          <w:tcPr>
            <w:tcW w:type="dxa" w:w="253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Seções 7.6 e 12.5</w:t>
            </w:r>
          </w:p>
        </w:tc>
      </w:tr>
      <w:tr>
        <w:trPr>
          <w:cantSplit/>
        </w:trPr>
        <w:tc>
          <w:tcPr>
            <w:tcW w:type="dxa" w:w="228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Guarda do registro</w:t>
            </w:r>
          </w:p>
        </w:tc>
        <w:tc>
          <w:tcPr>
            <w:tcW w:type="dxa" w:w="481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Retenção de 20 anos para prontuário; registro imutável com adendos</w:t>
            </w:r>
          </w:p>
        </w:tc>
        <w:tc>
          <w:tcPr>
            <w:tcW w:type="dxa" w:w="253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Seção 7</w:t>
            </w:r>
          </w:p>
        </w:tc>
      </w:tr>
      <w:tr>
        <w:trPr>
          <w:cantSplit/>
        </w:trPr>
        <w:tc>
          <w:tcPr>
            <w:tcW w:type="dxa" w:w="228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Vedação de caixas de recompensa</w:t>
            </w:r>
          </w:p>
        </w:tc>
        <w:tc>
          <w:tcPr>
            <w:tcW w:type="dxa" w:w="481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Reforçadores digitais conhecidos e escolhidos; nenhum sorteio de item desconhecido</w:t>
            </w:r>
          </w:p>
        </w:tc>
        <w:tc>
          <w:tcPr>
            <w:tcW w:type="dxa" w:w="253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Seção 9.7</w:t>
            </w:r>
          </w:p>
        </w:tc>
      </w:tr>
      <w:tr>
        <w:trPr>
          <w:cantSplit/>
        </w:trPr>
        <w:tc>
          <w:tcPr>
            <w:tcW w:type="dxa" w:w="228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Instrumentos e testes</w:t>
            </w:r>
          </w:p>
        </w:tc>
        <w:tc>
          <w:tcPr>
            <w:tcW w:type="dxa" w:w="481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Testes psicológicos só com parecer SATEPSI; itens protegidos só com licença</w:t>
            </w:r>
          </w:p>
        </w:tc>
        <w:tc>
          <w:tcPr>
            <w:tcW w:type="dxa" w:w="253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Seções 5.3 e 5.5</w:t>
            </w:r>
          </w:p>
        </w:tc>
      </w:tr>
    </w:tbl>
    <w:p>
      <w:pPr>
        <w:spacing w:after="120"/>
      </w:pPr>
    </w:p>
    <w:p>
      <w:pPr>
        <w:pStyle w:val="Heading1"/>
        <w:pageBreakBefore/>
      </w:pPr>
      <w:r>
        <w:t xml:space="preserve">6. Especificação funcional: os módulos do sistema</w:t>
      </w:r>
    </w:p>
    <w:p>
      <w:pPr>
        <w:spacing w:after="140" w:before="0" w:line="300"/>
        <w:jc w:val="left"/>
      </w:pPr>
      <w:r>
        <w:t xml:space="preserve">A plataforma é composta por 14 módulos que operam sobre o mesmo núcleo de dados. A tabela abaixo dá a visão geral; em seguida, cada módulo é detalhado com objetivo, funcionalidades e regras de negócio. Os módulos marcados como novos não têm equivalente no código atual.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89"/>
        <w:gridCol w:w="4311"/>
        <w:gridCol w:w="2538"/>
      </w:tblGrid>
      <w:tr>
        <w:trPr>
          <w:tblHeader/>
        </w:trPr>
        <w:tc>
          <w:tcPr>
            <w:tcW w:type="dxa" w:w="2789"/>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Módulo</w:t>
            </w:r>
          </w:p>
        </w:tc>
        <w:tc>
          <w:tcPr>
            <w:tcW w:type="dxa" w:w="4311"/>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Função</w:t>
            </w:r>
          </w:p>
        </w:tc>
        <w:tc>
          <w:tcPr>
            <w:tcW w:type="dxa" w:w="2538"/>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Referência nas bases</w:t>
            </w:r>
          </w:p>
        </w:tc>
      </w:tr>
      <w:tr>
        <w:trPr>
          <w:cantSplit/>
        </w:trPr>
        <w:tc>
          <w:tcPr>
            <w:tcW w:type="dxa" w:w="278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M1. Identidade, organização e consentimento</w:t>
            </w:r>
          </w:p>
        </w:tc>
        <w:tc>
          <w:tcPr>
            <w:tcW w:type="dxa" w:w="431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Contas, organizações, papéis, vínculos com casos, consentimentos e bases legais</w:t>
            </w:r>
          </w:p>
        </w:tc>
        <w:tc>
          <w:tcPr>
            <w:tcW w:type="dxa" w:w="253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Parcial: organizações, vínculos e permissões existem; consentimento não</w:t>
            </w:r>
          </w:p>
        </w:tc>
      </w:tr>
      <w:tr>
        <w:trPr>
          <w:cantSplit/>
        </w:trPr>
        <w:tc>
          <w:tcPr>
            <w:tcW w:type="dxa" w:w="278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M2. Caso e prontuário</w:t>
            </w:r>
          </w:p>
        </w:tc>
        <w:tc>
          <w:tcPr>
            <w:tcW w:type="dxa" w:w="4311"/>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Ficha da criança, anamnese, equipe, modelo de intervenção, evolução, encerramento</w:t>
            </w:r>
          </w:p>
        </w:tc>
        <w:tc>
          <w:tcPr>
            <w:tcW w:type="dxa" w:w="253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Parcial: tabela </w:t>
            </w:r>
            <w:r>
              <w:rPr>
                <w:rFonts w:ascii="Courier New" w:cs="Courier New" w:eastAsia="Courier New" w:hAnsi="Courier New"/>
                <w:sz w:val="18"/>
                <w:szCs w:val="18"/>
              </w:rPr>
              <w:t xml:space="preserve">children</w:t>
            </w:r>
            <w:r>
              <w:rPr>
                <w:sz w:val="18"/>
                <w:szCs w:val="18"/>
              </w:rPr>
              <w:t xml:space="preserve"> mínima; sem cadastro funcional</w:t>
            </w:r>
          </w:p>
        </w:tc>
      </w:tr>
      <w:tr>
        <w:trPr>
          <w:cantSplit/>
        </w:trPr>
        <w:tc>
          <w:tcPr>
            <w:tcW w:type="dxa" w:w="278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M3. Avaliação</w:t>
            </w:r>
          </w:p>
        </w:tc>
        <w:tc>
          <w:tcPr>
            <w:tcW w:type="dxa" w:w="431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Linha de base, registro de escores de instrumentos licenciados, avaliação funcional, perfil sensorial</w:t>
            </w:r>
          </w:p>
        </w:tc>
        <w:tc>
          <w:tcPr>
            <w:tcW w:type="dxa" w:w="253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Novo (os instrumentos existentes são fora de escopo)</w:t>
            </w:r>
          </w:p>
        </w:tc>
      </w:tr>
      <w:tr>
        <w:trPr>
          <w:cantSplit/>
        </w:trPr>
        <w:tc>
          <w:tcPr>
            <w:tcW w:type="dxa" w:w="278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M4. Planejamento (PEI)</w:t>
            </w:r>
          </w:p>
        </w:tc>
        <w:tc>
          <w:tcPr>
            <w:tcW w:type="dxa" w:w="4311"/>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Plano individual, objetivos, programas, alvos, fases, estímulos, dicas, critérios; ciclos trimestrais Denver</w:t>
            </w:r>
          </w:p>
        </w:tc>
        <w:tc>
          <w:tcPr>
            <w:tcW w:type="dxa" w:w="253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Novo</w:t>
            </w:r>
          </w:p>
        </w:tc>
      </w:tr>
      <w:tr>
        <w:trPr>
          <w:cantSplit/>
        </w:trPr>
        <w:tc>
          <w:tcPr>
            <w:tcW w:type="dxa" w:w="278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M5. Execução de sessão</w:t>
            </w:r>
          </w:p>
        </w:tc>
        <w:tc>
          <w:tcPr>
            <w:tcW w:type="dxa" w:w="431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Construção e aplicação de sessão ABA ou Denver, presencial ou com tablet, offline</w:t>
            </w:r>
          </w:p>
        </w:tc>
        <w:tc>
          <w:tcPr>
            <w:tcW w:type="dxa" w:w="253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Parcial: sessões e módulos de atividade digital existem; sem aplicação de mesa</w:t>
            </w:r>
          </w:p>
        </w:tc>
      </w:tr>
      <w:tr>
        <w:trPr>
          <w:cantSplit/>
        </w:trPr>
        <w:tc>
          <w:tcPr>
            <w:tcW w:type="dxa" w:w="278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M6. Reforçadores</w:t>
            </w:r>
          </w:p>
        </w:tc>
        <w:tc>
          <w:tcPr>
            <w:tcW w:type="dxa" w:w="4311"/>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Inventário, avaliação de preferência, economia de fichas, tela como reforçador temporizado</w:t>
            </w:r>
          </w:p>
        </w:tc>
        <w:tc>
          <w:tcPr>
            <w:tcW w:type="dxa" w:w="253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Novo</w:t>
            </w:r>
          </w:p>
        </w:tc>
      </w:tr>
      <w:tr>
        <w:trPr>
          <w:cantSplit/>
        </w:trPr>
        <w:tc>
          <w:tcPr>
            <w:tcW w:type="dxa" w:w="278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M7. Biblioteca de recursos</w:t>
            </w:r>
          </w:p>
        </w:tc>
        <w:tc>
          <w:tcPr>
            <w:tcW w:type="dxa" w:w="431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Jogos com manifesto clínico, materiais imprimíveis, pranchas, histórias sociais, agenda visual, vídeo-modelação</w:t>
            </w:r>
          </w:p>
        </w:tc>
        <w:tc>
          <w:tcPr>
            <w:tcW w:type="dxa" w:w="253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Parcial: 25 jogos e registro de apps</w:t>
            </w:r>
          </w:p>
        </w:tc>
      </w:tr>
      <w:tr>
        <w:trPr>
          <w:cantSplit/>
        </w:trPr>
        <w:tc>
          <w:tcPr>
            <w:tcW w:type="dxa" w:w="278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M8. Comportamento</w:t>
            </w:r>
          </w:p>
        </w:tc>
        <w:tc>
          <w:tcPr>
            <w:tcW w:type="dxa" w:w="4311"/>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Registro ABC, frequência, duração, latência, intervalo; plano de manejo; protocolo de crise</w:t>
            </w:r>
          </w:p>
        </w:tc>
        <w:tc>
          <w:tcPr>
            <w:tcW w:type="dxa" w:w="253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Novo</w:t>
            </w:r>
          </w:p>
        </w:tc>
      </w:tr>
      <w:tr>
        <w:trPr>
          <w:cantSplit/>
        </w:trPr>
        <w:tc>
          <w:tcPr>
            <w:tcW w:type="dxa" w:w="278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M9. Análise e decisão</w:t>
            </w:r>
          </w:p>
        </w:tc>
        <w:tc>
          <w:tcPr>
            <w:tcW w:type="dxa" w:w="431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Gráficos por alvo, linhas de fase, CDC, regras de decisão, alertas, painel do supervisor</w:t>
            </w:r>
          </w:p>
        </w:tc>
        <w:tc>
          <w:tcPr>
            <w:tcW w:type="dxa" w:w="253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Parcial: agregador e relatório de sessão básicos</w:t>
            </w:r>
          </w:p>
        </w:tc>
      </w:tr>
      <w:tr>
        <w:trPr>
          <w:cantSplit/>
        </w:trPr>
        <w:tc>
          <w:tcPr>
            <w:tcW w:type="dxa" w:w="278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M10. Supervisão e fidelidade</w:t>
            </w:r>
          </w:p>
        </w:tc>
        <w:tc>
          <w:tcPr>
            <w:tcW w:type="dxa" w:w="4311"/>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Checklists de fidelidade derivados do procedimento, treino de equipe, concordância entre observadores</w:t>
            </w:r>
          </w:p>
        </w:tc>
        <w:tc>
          <w:tcPr>
            <w:tcW w:type="dxa" w:w="253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Novo</w:t>
            </w:r>
          </w:p>
        </w:tc>
      </w:tr>
      <w:tr>
        <w:trPr>
          <w:cantSplit/>
        </w:trPr>
        <w:tc>
          <w:tcPr>
            <w:tcW w:type="dxa" w:w="278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M11. Família</w:t>
            </w:r>
          </w:p>
        </w:tc>
        <w:tc>
          <w:tcPr>
            <w:tcW w:type="dxa" w:w="431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Portal do responsável, tarefas de generalização, orientação parental, validação social</w:t>
            </w:r>
          </w:p>
        </w:tc>
        <w:tc>
          <w:tcPr>
            <w:tcW w:type="dxa" w:w="253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Novo</w:t>
            </w:r>
          </w:p>
        </w:tc>
      </w:tr>
      <w:tr>
        <w:trPr>
          <w:cantSplit/>
        </w:trPr>
        <w:tc>
          <w:tcPr>
            <w:tcW w:type="dxa" w:w="278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M12. Documentos</w:t>
            </w:r>
          </w:p>
        </w:tc>
        <w:tc>
          <w:tcPr>
            <w:tcW w:type="dxa" w:w="4311"/>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Relatórios evolutivos, documentos segundo a Res. CFP 06/2019, exportações</w:t>
            </w:r>
          </w:p>
        </w:tc>
        <w:tc>
          <w:tcPr>
            <w:tcW w:type="dxa" w:w="253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Novo</w:t>
            </w:r>
          </w:p>
        </w:tc>
      </w:tr>
      <w:tr>
        <w:trPr>
          <w:cantSplit/>
        </w:trPr>
        <w:tc>
          <w:tcPr>
            <w:tcW w:type="dxa" w:w="278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M13. Portal infantil e juvenil</w:t>
            </w:r>
          </w:p>
        </w:tc>
        <w:tc>
          <w:tcPr>
            <w:tcW w:type="dxa" w:w="431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Lançador por faixa etária, agenda visual, quadro de fichas, prancha de comunicação, jogos da sessão</w:t>
            </w:r>
          </w:p>
        </w:tc>
        <w:tc>
          <w:tcPr>
            <w:tcW w:type="dxa" w:w="253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Parcial: portal existe, com ranking e conquistas a remover ou rever</w:t>
            </w:r>
          </w:p>
        </w:tc>
      </w:tr>
      <w:tr>
        <w:trPr>
          <w:cantSplit/>
        </w:trPr>
        <w:tc>
          <w:tcPr>
            <w:tcW w:type="dxa" w:w="278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M14. Administração</w:t>
            </w:r>
          </w:p>
        </w:tc>
        <w:tc>
          <w:tcPr>
            <w:tcW w:type="dxa" w:w="4311"/>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Profissionais, agenda de atendimentos, configurações da organização, licenças</w:t>
            </w:r>
          </w:p>
        </w:tc>
        <w:tc>
          <w:tcPr>
            <w:tcW w:type="dxa" w:w="253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Parcial</w:t>
            </w:r>
          </w:p>
        </w:tc>
      </w:tr>
    </w:tbl>
    <w:p>
      <w:pPr>
        <w:spacing w:after="120"/>
      </w:pPr>
    </w:p>
    <w:p>
      <w:pPr>
        <w:pStyle w:val="Heading2"/>
        <w:keepNext/>
      </w:pPr>
      <w:r>
        <w:t xml:space="preserve">M1. Identidade, organização e consentimento</w:t>
      </w:r>
    </w:p>
    <w:p>
      <w:pPr>
        <w:spacing w:after="140" w:before="0" w:line="300"/>
        <w:jc w:val="left"/>
      </w:pPr>
      <w:r>
        <w:rPr>
          <w:b/>
          <w:bCs/>
        </w:rPr>
        <w:t xml:space="preserve">Objetivo.</w:t>
      </w:r>
      <w:r>
        <w:t xml:space="preserve"> Garantir que cada pessoa veja e faça apenas o que seu vínculo permite, e que cada tratamento de dado tenha base legal registrada.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36"/>
        <w:gridCol w:w="7102"/>
      </w:tblGrid>
      <w:tr>
        <w:trPr>
          <w:tblHeader/>
        </w:trPr>
        <w:tc>
          <w:tcPr>
            <w:tcW w:type="dxa" w:w="2536"/>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Funcionalidade</w:t>
            </w:r>
          </w:p>
        </w:tc>
        <w:tc>
          <w:tcPr>
            <w:tcW w:type="dxa" w:w="7102"/>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Regra de negócio</w:t>
            </w:r>
          </w:p>
        </w:tc>
      </w:tr>
      <w:tr>
        <w:trPr>
          <w:cantSplit/>
        </w:trPr>
        <w:tc>
          <w:tcPr>
            <w:tcW w:type="dxa" w:w="253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Organização multi-unidade</w:t>
            </w:r>
          </w:p>
        </w:tc>
        <w:tc>
          <w:tcPr>
            <w:tcW w:type="dxa" w:w="71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Uma organização pode ter várias unidades (por exemplo, clínica e escola parceira). O caso pertence a uma organização; o acesso entre organizações é sempre negado.</w:t>
            </w:r>
          </w:p>
        </w:tc>
      </w:tr>
      <w:tr>
        <w:trPr>
          <w:cantSplit/>
        </w:trPr>
        <w:tc>
          <w:tcPr>
            <w:tcW w:type="dxa" w:w="253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Vínculo profissional-caso</w:t>
            </w:r>
          </w:p>
        </w:tc>
        <w:tc>
          <w:tcPr>
            <w:tcW w:type="dxa" w:w="710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Papéis por caso: responsável técnico, supervisor, aplicador, observador. Um profissional pode ter papéis diferentes em casos diferentes. Permissões herdam do papel e podem ser restringidas, nunca ampliadas além do papel.</w:t>
            </w:r>
          </w:p>
        </w:tc>
      </w:tr>
      <w:tr>
        <w:trPr>
          <w:cantSplit/>
        </w:trPr>
        <w:tc>
          <w:tcPr>
            <w:tcW w:type="dxa" w:w="253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Conta da família</w:t>
            </w:r>
          </w:p>
        </w:tc>
        <w:tc>
          <w:tcPr>
            <w:tcW w:type="dxa" w:w="71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Convite enviado pelo responsável técnico ao responsável legal. Um caso pode ter mais de um responsável; cada um consente individualmente. Divergência entre responsáveis é registrada e sinalizada ao supervisor.</w:t>
            </w:r>
          </w:p>
        </w:tc>
      </w:tr>
      <w:tr>
        <w:trPr>
          <w:cantSplit/>
        </w:trPr>
        <w:tc>
          <w:tcPr>
            <w:tcW w:type="dxa" w:w="253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Consentimentos</w:t>
            </w:r>
          </w:p>
        </w:tc>
        <w:tc>
          <w:tcPr>
            <w:tcW w:type="dxa" w:w="710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Termos separados por finalidade: prestação do serviço e prontuário; uso do portal infantil; captura de foto ou vídeo da criança para estímulos personalizados; compartilhamento com escola; uso de dados desidentificados em pesquisa. Cada termo é versionado, com data, IP, responsável e possibilidade de revogação.</w:t>
            </w:r>
          </w:p>
        </w:tc>
      </w:tr>
      <w:tr>
        <w:trPr>
          <w:cantSplit/>
        </w:trPr>
        <w:tc>
          <w:tcPr>
            <w:tcW w:type="dxa" w:w="253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Autenticação profissional</w:t>
            </w:r>
          </w:p>
        </w:tc>
        <w:tc>
          <w:tcPr>
            <w:tcW w:type="dxa" w:w="71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E-mail e senha com segundo fator obrigatório para perfis com acesso a prontuário; sessão com expiração por inatividade; dispositivos confiáveis.</w:t>
            </w:r>
          </w:p>
        </w:tc>
      </w:tr>
      <w:tr>
        <w:trPr>
          <w:cantSplit/>
        </w:trPr>
        <w:tc>
          <w:tcPr>
            <w:tcW w:type="dxa" w:w="253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Acesso infantil</w:t>
            </w:r>
          </w:p>
        </w:tc>
        <w:tc>
          <w:tcPr>
            <w:tcW w:type="dxa" w:w="710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Sem conta para a criança. O profissional (ou o responsável, em sessão domiciliar autorizada) abre uma sessão infantil no dispositivo, que gera token temporário (mecanismo já existente). O PIN de quatro dígitos é apenas conveniência de interface para retomar a tela, nunca credencial.</w:t>
            </w:r>
          </w:p>
        </w:tc>
      </w:tr>
    </w:tbl>
    <w:p>
      <w:pPr>
        <w:spacing w:after="120"/>
      </w:pPr>
    </w:p>
    <w:p>
      <w:pPr>
        <w:pStyle w:val="Heading2"/>
        <w:keepNext/>
      </w:pPr>
      <w:r>
        <w:t xml:space="preserve">M2. Caso e prontuário</w:t>
      </w:r>
    </w:p>
    <w:p>
      <w:pPr>
        <w:spacing w:after="140" w:before="0" w:line="300"/>
        <w:jc w:val="left"/>
      </w:pPr>
      <w:r>
        <w:rPr>
          <w:b/>
          <w:bCs/>
        </w:rPr>
        <w:t xml:space="preserve">Objetivo.</w:t>
      </w:r>
      <w:r>
        <w:t xml:space="preserve"> Ser o registro documental único do atendimento, conforme a Res. CFP 01/2009, organizado de modo que todas as outras funções o alimentem automaticamente.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36"/>
        <w:gridCol w:w="7102"/>
      </w:tblGrid>
      <w:tr>
        <w:trPr>
          <w:tblHeader/>
        </w:trPr>
        <w:tc>
          <w:tcPr>
            <w:tcW w:type="dxa" w:w="2536"/>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Funcionalidade</w:t>
            </w:r>
          </w:p>
        </w:tc>
        <w:tc>
          <w:tcPr>
            <w:tcW w:type="dxa" w:w="7102"/>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Regra de negócio</w:t>
            </w:r>
          </w:p>
        </w:tc>
      </w:tr>
      <w:tr>
        <w:trPr>
          <w:cantSplit/>
        </w:trPr>
        <w:tc>
          <w:tcPr>
            <w:tcW w:type="dxa" w:w="253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Ficha de identificação</w:t>
            </w:r>
          </w:p>
        </w:tc>
        <w:tc>
          <w:tcPr>
            <w:tcW w:type="dxa" w:w="71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Nome, nome social ou apelido de preferência, data de nascimento, responsáveis, escola, contatos de emergência, diagnósticos informados (com origem e data), medicações relevantes, alergias, informações sensoriais de segurança.</w:t>
            </w:r>
          </w:p>
        </w:tc>
      </w:tr>
      <w:tr>
        <w:trPr>
          <w:cantSplit/>
        </w:trPr>
        <w:tc>
          <w:tcPr>
            <w:tcW w:type="dxa" w:w="253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Anamnese estruturada</w:t>
            </w:r>
          </w:p>
        </w:tc>
        <w:tc>
          <w:tcPr>
            <w:tcW w:type="dxa" w:w="710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Gestação e nascimento, marcos do desenvolvimento, histórico de intervenções, rotina, sono, alimentação, interesses, comunicação atual, comportamentos de preocupação. Campos estruturados com espaço livre.</w:t>
            </w:r>
          </w:p>
        </w:tc>
      </w:tr>
      <w:tr>
        <w:trPr>
          <w:cantSplit/>
        </w:trPr>
        <w:tc>
          <w:tcPr>
            <w:tcW w:type="dxa" w:w="253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Modelo de intervenção</w:t>
            </w:r>
          </w:p>
        </w:tc>
        <w:tc>
          <w:tcPr>
            <w:tcW w:type="dxa" w:w="71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Definido no primeiro plano: </w:t>
            </w:r>
            <w:r>
              <w:rPr>
                <w:b w:val="false"/>
                <w:bCs w:val="false"/>
                <w:sz w:val="18"/>
                <w:szCs w:val="18"/>
              </w:rPr>
              <w:t xml:space="preserve">ABA</w:t>
            </w:r>
            <w:r>
              <w:rPr>
                <w:b w:val="false"/>
                <w:bCs w:val="false"/>
                <w:sz w:val="18"/>
                <w:szCs w:val="18"/>
              </w:rPr>
              <w:t xml:space="preserve"> ou </w:t>
            </w:r>
            <w:r>
              <w:rPr>
                <w:b w:val="false"/>
                <w:bCs w:val="false"/>
                <w:sz w:val="18"/>
                <w:szCs w:val="18"/>
              </w:rPr>
              <w:t xml:space="preserve">Denver</w:t>
            </w:r>
            <w:r>
              <w:rPr>
                <w:b w:val="false"/>
                <w:bCs w:val="false"/>
                <w:sz w:val="18"/>
                <w:szCs w:val="18"/>
              </w:rPr>
              <w:t xml:space="preserve">. Imutável durante a vigência do plano. Ver regra de transição na Seção 7.3.</w:t>
            </w:r>
          </w:p>
        </w:tc>
      </w:tr>
      <w:tr>
        <w:trPr>
          <w:cantSplit/>
        </w:trPr>
        <w:tc>
          <w:tcPr>
            <w:tcW w:type="dxa" w:w="253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Evolução</w:t>
            </w:r>
          </w:p>
        </w:tc>
        <w:tc>
          <w:tcPr>
            <w:tcW w:type="dxa" w:w="710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Cada sessão encerrada gera automaticamente uma entrada de evolução com dados estruturados (alvos trabalhados, resumo de desempenho, comportamentos, reforçadores) e campo de nota clínica do profissional. A nota é obrigatória para fechar a sessão.</w:t>
            </w:r>
          </w:p>
        </w:tc>
      </w:tr>
      <w:tr>
        <w:trPr>
          <w:cantSplit/>
        </w:trPr>
        <w:tc>
          <w:tcPr>
            <w:tcW w:type="dxa" w:w="253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Adendos</w:t>
            </w:r>
          </w:p>
        </w:tc>
        <w:tc>
          <w:tcPr>
            <w:tcW w:type="dxa" w:w="71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Nada é apagado. Correções são adendos com autor, data e motivo, exibidos junto ao registro original.</w:t>
            </w:r>
          </w:p>
        </w:tc>
      </w:tr>
      <w:tr>
        <w:trPr>
          <w:cantSplit/>
        </w:trPr>
        <w:tc>
          <w:tcPr>
            <w:tcW w:type="dxa" w:w="253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Linha do tempo</w:t>
            </w:r>
          </w:p>
        </w:tc>
        <w:tc>
          <w:tcPr>
            <w:tcW w:type="dxa" w:w="710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Visão cronológica de avaliações, planos, mudanças de fase, eventos relevantes (troca de medicação, mudança de escola, férias, doença), sessões e documentos. Eventos de contexto são marcados nos gráficos.</w:t>
            </w:r>
          </w:p>
        </w:tc>
      </w:tr>
      <w:tr>
        <w:trPr>
          <w:cantSplit/>
        </w:trPr>
        <w:tc>
          <w:tcPr>
            <w:tcW w:type="dxa" w:w="253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Encerramento</w:t>
            </w:r>
          </w:p>
        </w:tc>
        <w:tc>
          <w:tcPr>
            <w:tcW w:type="dxa" w:w="71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Alta, interrupção ou encaminhamento com motivo, resumo e documento final. O prontuário entra em guarda com retenção mínima de 20 anos.</w:t>
            </w:r>
          </w:p>
        </w:tc>
      </w:tr>
    </w:tbl>
    <w:p>
      <w:pPr>
        <w:spacing w:after="120"/>
      </w:pPr>
    </w:p>
    <w:p>
      <w:pPr>
        <w:pStyle w:val="Heading2"/>
        <w:keepNext/>
      </w:pPr>
      <w:r>
        <w:t xml:space="preserve">M3. Avaliação</w:t>
      </w:r>
    </w:p>
    <w:p>
      <w:pPr>
        <w:spacing w:after="140" w:before="0" w:line="300"/>
        <w:jc w:val="left"/>
      </w:pPr>
      <w:r>
        <w:rPr>
          <w:b/>
          <w:bCs/>
        </w:rPr>
        <w:t xml:space="preserve">Objetivo.</w:t>
      </w:r>
      <w:r>
        <w:t xml:space="preserve"> Fornecer a linha de base a partir da qual o plano é construído e contra a qual o progresso é medido.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36"/>
        <w:gridCol w:w="7102"/>
      </w:tblGrid>
      <w:tr>
        <w:trPr>
          <w:tblHeader/>
        </w:trPr>
        <w:tc>
          <w:tcPr>
            <w:tcW w:type="dxa" w:w="2536"/>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Funcionalidade</w:t>
            </w:r>
          </w:p>
        </w:tc>
        <w:tc>
          <w:tcPr>
            <w:tcW w:type="dxa" w:w="7102"/>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Regra de negócio</w:t>
            </w:r>
          </w:p>
        </w:tc>
      </w:tr>
      <w:tr>
        <w:trPr>
          <w:cantSplit/>
        </w:trPr>
        <w:tc>
          <w:tcPr>
            <w:tcW w:type="dxa" w:w="253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Registro de instrumentos licenciados</w:t>
            </w:r>
          </w:p>
        </w:tc>
        <w:tc>
          <w:tcPr>
            <w:tcW w:type="dxa" w:w="71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Estrutura configurável para lançar escores de currículos e protocolos (por exemplo, níveis e marcos), com data, avaliador e contexto. Textos de itens apenas com licença. Comparação entre aplicações sucessivas.</w:t>
            </w:r>
          </w:p>
        </w:tc>
      </w:tr>
      <w:tr>
        <w:trPr>
          <w:cantSplit/>
        </w:trPr>
        <w:tc>
          <w:tcPr>
            <w:tcW w:type="dxa" w:w="253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Sondas de linha de base</w:t>
            </w:r>
          </w:p>
        </w:tc>
        <w:tc>
          <w:tcPr>
            <w:tcW w:type="dxa" w:w="710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Para cada alvo candidato, registro de sondas sem dica e sem reforçamento diferencial (padrão: três sondas) antes de iniciar o ensino. Alvo com desempenho igual ou acima do critério na linha de base é marcado como já presente e não entra em ensino.</w:t>
            </w:r>
          </w:p>
        </w:tc>
      </w:tr>
      <w:tr>
        <w:trPr>
          <w:cantSplit/>
        </w:trPr>
        <w:tc>
          <w:tcPr>
            <w:tcW w:type="dxa" w:w="253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Avaliação funcional descritiva</w:t>
            </w:r>
          </w:p>
        </w:tc>
        <w:tc>
          <w:tcPr>
            <w:tcW w:type="dxa" w:w="71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Registro ABC estruturado (M8), entrevistas com família e escola em formulário estruturado, gráfico de dispersão por horário e atividade, e síntese de hipótese de função (atenção, fuga ou esquiva, acesso a tangível, automático) com grau de confiança.</w:t>
            </w:r>
          </w:p>
        </w:tc>
      </w:tr>
      <w:tr>
        <w:trPr>
          <w:cantSplit/>
        </w:trPr>
        <w:tc>
          <w:tcPr>
            <w:tcW w:type="dxa" w:w="253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Perfil sensorial e de acesso</w:t>
            </w:r>
          </w:p>
        </w:tc>
        <w:tc>
          <w:tcPr>
            <w:tcW w:type="dxa" w:w="710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Preferências e aversões sensoriais, tolerância a sons, luz e movimento, forma de acesso ao tablet (toque, varredura, apontador), tempo de tela recomendado. Alimenta a configuração do portal infantil.</w:t>
            </w:r>
          </w:p>
        </w:tc>
      </w:tr>
      <w:tr>
        <w:trPr>
          <w:cantSplit/>
        </w:trPr>
        <w:tc>
          <w:tcPr>
            <w:tcW w:type="dxa" w:w="253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Pré-requisitos digitais</w:t>
            </w:r>
          </w:p>
        </w:tc>
        <w:tc>
          <w:tcPr>
            <w:tcW w:type="dxa" w:w="71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Sondas breves registradas: tolera o tablet, toca alvo intencionalmente, pareia figura idêntica, identifica figura nomeada. Determinam que jogos e que formato de avaliação de preferência podem ser usados.</w:t>
            </w:r>
          </w:p>
        </w:tc>
      </w:tr>
    </w:tbl>
    <w:p>
      <w:pPr>
        <w:spacing w:after="120"/>
      </w:pPr>
    </w:p>
    <w:p>
      <w:pPr>
        <w:pStyle w:val="Heading2"/>
        <w:keepNext/>
      </w:pPr>
      <w:r>
        <w:t xml:space="preserve">M4. Planejamento: o plano individual</w:t>
      </w:r>
    </w:p>
    <w:p>
      <w:pPr>
        <w:spacing w:after="140" w:before="0" w:line="300"/>
        <w:jc w:val="left"/>
      </w:pPr>
      <w:r>
        <w:rPr>
          <w:b/>
          <w:bCs/>
        </w:rPr>
        <w:t xml:space="preserve">Objetivo.</w:t>
      </w:r>
      <w:r>
        <w:t xml:space="preserve"> Representar o plano de intervenção de forma operacional, de modo que a aplicação e a análise decorram dele sem retrabalho. É o coração do núcleo clínico.</w:t>
      </w:r>
    </w:p>
    <w:p>
      <w:pPr>
        <w:pStyle w:val="Heading3"/>
        <w:keepNext/>
      </w:pPr>
      <w:r>
        <w:t xml:space="preserve">Estrutura hierárquica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75"/>
        <w:gridCol w:w="3931"/>
        <w:gridCol w:w="3932"/>
      </w:tblGrid>
      <w:tr>
        <w:trPr>
          <w:tblHeader/>
        </w:trPr>
        <w:tc>
          <w:tcPr>
            <w:tcW w:type="dxa" w:w="1775"/>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Nível</w:t>
            </w:r>
          </w:p>
        </w:tc>
        <w:tc>
          <w:tcPr>
            <w:tcW w:type="dxa" w:w="3931"/>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Caso ABA</w:t>
            </w:r>
          </w:p>
        </w:tc>
        <w:tc>
          <w:tcPr>
            <w:tcW w:type="dxa" w:w="3932"/>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Caso Denver</w:t>
            </w:r>
          </w:p>
        </w:tc>
      </w:tr>
      <w:tr>
        <w:trPr>
          <w:cantSplit/>
        </w:trPr>
        <w:tc>
          <w:tcPr>
            <w:tcW w:type="dxa" w:w="177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Plano</w:t>
            </w:r>
          </w:p>
        </w:tc>
        <w:tc>
          <w:tcPr>
            <w:tcW w:type="dxa" w:w="393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Plano individual com vigência, modelo ABA, responsável técnico</w:t>
            </w:r>
          </w:p>
        </w:tc>
        <w:tc>
          <w:tcPr>
            <w:tcW w:type="dxa" w:w="393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Plano individual com vigência, modelo Denver, responsável técnico</w:t>
            </w:r>
          </w:p>
        </w:tc>
      </w:tr>
      <w:tr>
        <w:trPr>
          <w:cantSplit/>
        </w:trPr>
        <w:tc>
          <w:tcPr>
            <w:tcW w:type="dxa" w:w="1775"/>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Objetivo amplo</w:t>
            </w:r>
          </w:p>
        </w:tc>
        <w:tc>
          <w:tcPr>
            <w:tcW w:type="dxa" w:w="3931"/>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Objetivo de longo prazo por domínio (por exemplo, ampliar repertório de mandos)</w:t>
            </w:r>
          </w:p>
        </w:tc>
        <w:tc>
          <w:tcPr>
            <w:tcW w:type="dxa" w:w="393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Ciclo trimestral (padrão de 12 semanas) com data de início e de revisão</w:t>
            </w:r>
          </w:p>
        </w:tc>
      </w:tr>
      <w:tr>
        <w:trPr>
          <w:cantSplit/>
        </w:trPr>
        <w:tc>
          <w:tcPr>
            <w:tcW w:type="dxa" w:w="177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Unidade de ensino</w:t>
            </w:r>
          </w:p>
        </w:tc>
        <w:tc>
          <w:tcPr>
            <w:tcW w:type="dxa" w:w="393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Programa</w:t>
            </w:r>
            <w:r>
              <w:rPr>
                <w:b w:val="false"/>
                <w:bCs w:val="false"/>
                <w:sz w:val="18"/>
                <w:szCs w:val="18"/>
              </w:rPr>
              <w:t xml:space="preserve"> (por exemplo, mando por itens com figuras), com procedimento, hierarquia de dicas, correção de erro, critério padrão e reforçamento</w:t>
            </w:r>
          </w:p>
        </w:tc>
        <w:tc>
          <w:tcPr>
            <w:tcW w:type="dxa" w:w="393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Objetivo trimestral</w:t>
            </w:r>
            <w:r>
              <w:rPr>
                <w:b w:val="false"/>
                <w:bCs w:val="false"/>
                <w:sz w:val="18"/>
                <w:szCs w:val="18"/>
              </w:rPr>
              <w:t xml:space="preserve"> por domínio do currículo, com descrição comportamental, critério e materiais sugeridos</w:t>
            </w:r>
          </w:p>
        </w:tc>
      </w:tr>
      <w:tr>
        <w:trPr>
          <w:cantSplit/>
        </w:trPr>
        <w:tc>
          <w:tcPr>
            <w:tcW w:type="dxa" w:w="1775"/>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Unidade de registro</w:t>
            </w:r>
          </w:p>
        </w:tc>
        <w:tc>
          <w:tcPr>
            <w:tcW w:type="dxa" w:w="3931"/>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Alvo</w:t>
            </w:r>
            <w:r>
              <w:rPr>
                <w:b w:val="false"/>
                <w:bCs w:val="false"/>
                <w:sz w:val="18"/>
                <w:szCs w:val="18"/>
              </w:rPr>
              <w:t xml:space="preserve"> (por exemplo, pedir “bola”), com estímulos, fase e critério específico (pode herdar do programa)</w:t>
            </w:r>
          </w:p>
        </w:tc>
        <w:tc>
          <w:tcPr>
            <w:tcW w:type="dxa" w:w="393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Passo de aprendizagem</w:t>
            </w:r>
            <w:r>
              <w:rPr>
                <w:b w:val="false"/>
                <w:bCs w:val="false"/>
                <w:sz w:val="18"/>
                <w:szCs w:val="18"/>
              </w:rPr>
              <w:t xml:space="preserve"> do objetivo, em sequência do mais simples ao objetivo final</w:t>
            </w:r>
          </w:p>
        </w:tc>
      </w:tr>
      <w:tr>
        <w:trPr>
          <w:cantSplit/>
        </w:trPr>
        <w:tc>
          <w:tcPr>
            <w:tcW w:type="dxa" w:w="177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Contexto de aplicação</w:t>
            </w:r>
          </w:p>
        </w:tc>
        <w:tc>
          <w:tcPr>
            <w:tcW w:type="dxa" w:w="393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Bloco DTT, oportunidades de NET, cadeia, registro de comportamento</w:t>
            </w:r>
          </w:p>
        </w:tc>
        <w:tc>
          <w:tcPr>
            <w:tcW w:type="dxa" w:w="393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Rotina de atividade conjunta, à qual os passos ativos são associados</w:t>
            </w:r>
          </w:p>
        </w:tc>
      </w:tr>
    </w:tbl>
    <w:p>
      <w:pPr>
        <w:spacing w:after="120"/>
      </w:pPr>
    </w:p>
    <w:p>
      <w:pPr>
        <w:pStyle w:val="Heading3"/>
        <w:keepNext/>
      </w:pPr>
      <w:r>
        <w:t xml:space="preserve">Ciclo de vida de um alvo ABA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75"/>
        <w:gridCol w:w="3804"/>
        <w:gridCol w:w="4059"/>
      </w:tblGrid>
      <w:tr>
        <w:trPr>
          <w:tblHeader/>
        </w:trPr>
        <w:tc>
          <w:tcPr>
            <w:tcW w:type="dxa" w:w="1775"/>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Fase</w:t>
            </w:r>
          </w:p>
        </w:tc>
        <w:tc>
          <w:tcPr>
            <w:tcW w:type="dxa" w:w="3804"/>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Entrada</w:t>
            </w:r>
          </w:p>
        </w:tc>
        <w:tc>
          <w:tcPr>
            <w:tcW w:type="dxa" w:w="4059"/>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Saída</w:t>
            </w:r>
          </w:p>
        </w:tc>
      </w:tr>
      <w:tr>
        <w:trPr>
          <w:cantSplit/>
        </w:trPr>
        <w:tc>
          <w:tcPr>
            <w:tcW w:type="dxa" w:w="177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Linha de base</w:t>
            </w:r>
          </w:p>
        </w:tc>
        <w:tc>
          <w:tcPr>
            <w:tcW w:type="dxa" w:w="380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Alvo criado e aprovado</w:t>
            </w:r>
          </w:p>
        </w:tc>
        <w:tc>
          <w:tcPr>
            <w:tcW w:type="dxa" w:w="405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Três sondas registradas; se abaixo do critério, vai para aquisição</w:t>
            </w:r>
          </w:p>
        </w:tc>
      </w:tr>
      <w:tr>
        <w:trPr>
          <w:cantSplit/>
        </w:trPr>
        <w:tc>
          <w:tcPr>
            <w:tcW w:type="dxa" w:w="1775"/>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Aquisição</w:t>
            </w:r>
          </w:p>
        </w:tc>
        <w:tc>
          <w:tcPr>
            <w:tcW w:type="dxa" w:w="3804"/>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Linha de base concluída</w:t>
            </w:r>
          </w:p>
        </w:tc>
        <w:tc>
          <w:tcPr>
            <w:tcW w:type="dxa" w:w="405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Critério de domínio atingido e confirmado pelo supervisor</w:t>
            </w:r>
          </w:p>
        </w:tc>
      </w:tr>
      <w:tr>
        <w:trPr>
          <w:cantSplit/>
        </w:trPr>
        <w:tc>
          <w:tcPr>
            <w:tcW w:type="dxa" w:w="177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Manutenção</w:t>
            </w:r>
          </w:p>
        </w:tc>
        <w:tc>
          <w:tcPr>
            <w:tcW w:type="dxa" w:w="380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Domínio confirmado</w:t>
            </w:r>
          </w:p>
        </w:tc>
        <w:tc>
          <w:tcPr>
            <w:tcW w:type="dxa" w:w="405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Sondas espaçadas acima do critério de manutenção (padrão: 1, 2 e 4 semanas); queda leva a revisão</w:t>
            </w:r>
          </w:p>
        </w:tc>
      </w:tr>
      <w:tr>
        <w:trPr>
          <w:cantSplit/>
        </w:trPr>
        <w:tc>
          <w:tcPr>
            <w:tcW w:type="dxa" w:w="1775"/>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Generalização</w:t>
            </w:r>
          </w:p>
        </w:tc>
        <w:tc>
          <w:tcPr>
            <w:tcW w:type="dxa" w:w="3804"/>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Em paralelo à manutenção</w:t>
            </w:r>
          </w:p>
        </w:tc>
        <w:tc>
          <w:tcPr>
            <w:tcW w:type="dxa" w:w="405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Desempenho acima do critério com pessoa, material e ambiente diferentes, conforme o plano</w:t>
            </w:r>
          </w:p>
        </w:tc>
      </w:tr>
      <w:tr>
        <w:trPr>
          <w:cantSplit/>
        </w:trPr>
        <w:tc>
          <w:tcPr>
            <w:tcW w:type="dxa" w:w="177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Concluído</w:t>
            </w:r>
          </w:p>
        </w:tc>
        <w:tc>
          <w:tcPr>
            <w:tcW w:type="dxa" w:w="380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Manutenção e generalização atendidas</w:t>
            </w:r>
          </w:p>
        </w:tc>
        <w:tc>
          <w:tcPr>
            <w:tcW w:type="dxa" w:w="405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Arquivado como habilidade adquirida, disponível em relatórios</w:t>
            </w:r>
          </w:p>
        </w:tc>
      </w:tr>
      <w:tr>
        <w:trPr>
          <w:cantSplit/>
        </w:trPr>
        <w:tc>
          <w:tcPr>
            <w:tcW w:type="dxa" w:w="1775"/>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Em revisão</w:t>
            </w:r>
          </w:p>
        </w:tc>
        <w:tc>
          <w:tcPr>
            <w:tcW w:type="dxa" w:w="3804"/>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Regra de estagnação, regressão ou dependência de dica disparada (Seção 8.5)</w:t>
            </w:r>
          </w:p>
        </w:tc>
        <w:tc>
          <w:tcPr>
            <w:tcW w:type="dxa" w:w="405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Supervisor ajusta procedimento, estímulos, dica ou reforçador e reabre a fase anterior</w:t>
            </w:r>
          </w:p>
        </w:tc>
      </w:tr>
      <w:tr>
        <w:trPr>
          <w:cantSplit/>
        </w:trPr>
        <w:tc>
          <w:tcPr>
            <w:tcW w:type="dxa" w:w="177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Suspenso</w:t>
            </w:r>
          </w:p>
        </w:tc>
        <w:tc>
          <w:tcPr>
            <w:tcW w:type="dxa" w:w="380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Decisão clínica (por exemplo, pré-requisito ausente)</w:t>
            </w:r>
          </w:p>
        </w:tc>
        <w:tc>
          <w:tcPr>
            <w:tcW w:type="dxa" w:w="405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Reativação ou exclusão justificada</w:t>
            </w:r>
          </w:p>
        </w:tc>
      </w:tr>
    </w:tbl>
    <w:p>
      <w:pPr>
        <w:spacing w:after="120"/>
      </w:pPr>
    </w:p>
    <w:p>
      <w:pPr>
        <w:pStyle w:val="Heading3"/>
        <w:keepNext/>
      </w:pPr>
      <w:r>
        <w:t xml:space="preserve">Bibliotecas reutilizáveis</w:t>
      </w:r>
    </w:p>
    <w:p>
      <w:pPr>
        <w:spacing w:after="140" w:before="0" w:line="300"/>
        <w:jc w:val="left"/>
      </w:pPr>
      <w:r>
        <w:t xml:space="preserve">Para que o planejamento seja rápido sem perder rigor, a organização mantém bibliotecas de programas-modelo, de hierarquias de dicas, de critérios de domínio, de conjuntos de estímulos e de definições operacionais de comportamento. Um programa-modelo traz definição operacional, procedimento, materiais, correção de erro e sugestão de jogos compatíveis; ao ser aplicado a uma criança, vira uma cópia editável, preservando o vínculo com o modelo de origem para análises agregadas na organização. A plataforma deve vir com um acervo inicial de programas-modelo redigido e revisado pela supervisão clínica da equipe responsável pelo produto.</w:t>
      </w:r>
    </w:p>
    <w:p>
      <w:pPr>
        <w:pStyle w:val="Heading2"/>
        <w:keepNext/>
      </w:pPr>
      <w:r>
        <w:t xml:space="preserve">M5. Execução de sessão</w:t>
      </w:r>
    </w:p>
    <w:p>
      <w:pPr>
        <w:spacing w:after="140" w:before="0" w:line="300"/>
        <w:jc w:val="left"/>
      </w:pPr>
      <w:r>
        <w:rPr>
          <w:b/>
          <w:bCs/>
        </w:rPr>
        <w:t xml:space="preserve">Objetivo.</w:t>
      </w:r>
      <w:r>
        <w:t xml:space="preserve"> Permitir aplicar e registrar uma sessão completa com o mínimo de atenção desviada da criança, em tablet ou celular, com ou sem conexão.</w:t>
      </w:r>
    </w:p>
    <w:p>
      <w:pPr>
        <w:pStyle w:val="Heading3"/>
        <w:keepNext/>
      </w:pPr>
      <w:r>
        <w:t xml:space="preserve">Construção da sessão</w:t>
      </w:r>
    </w:p>
    <w:p>
      <w:pPr>
        <w:spacing w:after="140" w:before="0" w:line="300"/>
        <w:jc w:val="left"/>
      </w:pPr>
      <w:r>
        <w:t xml:space="preserve">O supervisor ou o aplicador monta a sessão a partir dos alvos ativos do plano. Em caso ABA, a sessão é uma sequência de blocos: bloco de DTT (com alvos intercalados, número de tentativas por alvo e ordem aleatorizada com semente), janela de NET com alvos a capturar, cadeia de AVD, atividade em tablet vinculada a alvos, intervalo com reforçador e registro de comportamento contínuo. Em caso Denver, a sessão é uma sequência planejada de rotinas de atividade conjunta (por exemplo, rotina sensório-social com bolhas, rotina de objeto com blocos, lanche, livro), cada uma com os passos ativos que podem ser trabalhados nela; a sessão é flexível, e o terapeuta pode trocar a ordem ou inserir uma rotina iniciada pela criança. A plataforma sugere distribuição de alvos para que todos os ativos recebam oportunidades suficientes ao longo da semana.</w:t>
      </w:r>
    </w:p>
    <w:p>
      <w:pPr>
        <w:pStyle w:val="Heading3"/>
        <w:keepNext/>
      </w:pPr>
      <w:r>
        <w:t xml:space="preserve">Aplicação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89"/>
        <w:gridCol w:w="6849"/>
      </w:tblGrid>
      <w:tr>
        <w:trPr>
          <w:tblHeader/>
        </w:trPr>
        <w:tc>
          <w:tcPr>
            <w:tcW w:type="dxa" w:w="2789"/>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Situação</w:t>
            </w:r>
          </w:p>
        </w:tc>
        <w:tc>
          <w:tcPr>
            <w:tcW w:type="dxa" w:w="6849"/>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Comportamento do sistema</w:t>
            </w:r>
          </w:p>
        </w:tc>
      </w:tr>
      <w:tr>
        <w:trPr>
          <w:cantSplit/>
        </w:trPr>
        <w:tc>
          <w:tcPr>
            <w:tcW w:type="dxa" w:w="278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Sessão presencial sem tablet para a criança</w:t>
            </w:r>
          </w:p>
        </w:tc>
        <w:tc>
          <w:tcPr>
            <w:tcW w:type="dxa" w:w="684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O aplicador usa celular ou tablet próprio com a tela de registro (Seção 10.4 e 10.5). Os estímulos são materiais físicos.</w:t>
            </w:r>
          </w:p>
        </w:tc>
      </w:tr>
      <w:tr>
        <w:trPr>
          <w:cantSplit/>
        </w:trPr>
        <w:tc>
          <w:tcPr>
            <w:tcW w:type="dxa" w:w="278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Sessão com atividade digital, um dispositivo</w:t>
            </w:r>
          </w:p>
        </w:tc>
        <w:tc>
          <w:tcPr>
            <w:tcW w:type="dxa" w:w="684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O tablet alterna entre a tela da criança e a do profissional. Os controles do profissional ficam ocultos e são acionados por toque longo em canto protegido, com confirmação, para não interromper a criança.</w:t>
            </w:r>
          </w:p>
        </w:tc>
      </w:tr>
      <w:tr>
        <w:trPr>
          <w:cantSplit/>
        </w:trPr>
        <w:tc>
          <w:tcPr>
            <w:tcW w:type="dxa" w:w="278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Sessão com atividade digital, dois dispositivos</w:t>
            </w:r>
          </w:p>
        </w:tc>
        <w:tc>
          <w:tcPr>
            <w:tcW w:type="dxa" w:w="684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O tablet da criança e o celular do profissional são pareados por código de sessão. O jogo envia cada tentativa ao celular; o profissional marca o nível de dica em tempo real e pode pausar, encerrar ou avançar o jogo à distância.</w:t>
            </w:r>
          </w:p>
        </w:tc>
      </w:tr>
      <w:tr>
        <w:trPr>
          <w:cantSplit/>
        </w:trPr>
        <w:tc>
          <w:tcPr>
            <w:tcW w:type="dxa" w:w="278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Sem conexão</w:t>
            </w:r>
          </w:p>
        </w:tc>
        <w:tc>
          <w:tcPr>
            <w:tcW w:type="dxa" w:w="684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Toda a sessão funciona offline. Os dados ficam na fila local cifrada e são sincronizados quando a conexão volta, com indicação visível de dados pendentes.</w:t>
            </w:r>
          </w:p>
        </w:tc>
      </w:tr>
      <w:tr>
        <w:trPr>
          <w:cantSplit/>
        </w:trPr>
        <w:tc>
          <w:tcPr>
            <w:tcW w:type="dxa" w:w="278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Interrupção</w:t>
            </w:r>
          </w:p>
        </w:tc>
        <w:tc>
          <w:tcPr>
            <w:tcW w:type="dxa" w:w="684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Comportamento-problema, recusa ou saída da criança podem ser registrados com um toque; a sessão pode ser pausada sem perder o contexto.</w:t>
            </w:r>
          </w:p>
        </w:tc>
      </w:tr>
      <w:tr>
        <w:trPr>
          <w:cantSplit/>
        </w:trPr>
        <w:tc>
          <w:tcPr>
            <w:tcW w:type="dxa" w:w="278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Encerramento</w:t>
            </w:r>
          </w:p>
        </w:tc>
        <w:tc>
          <w:tcPr>
            <w:tcW w:type="dxa" w:w="684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Resumo automático por alvo, comportamentos, reforçadores usados e tempo de tela; nota clínica obrigatória; assinatura do aplicador.</w:t>
            </w:r>
          </w:p>
        </w:tc>
      </w:tr>
    </w:tbl>
    <w:p>
      <w:pPr>
        <w:spacing w:after="120"/>
      </w:pPr>
    </w:p>
    <w:p>
      <w:pPr>
        <w:pStyle w:val="Heading2"/>
        <w:keepNext/>
      </w:pPr>
      <w:r>
        <w:t xml:space="preserve">M6. Reforçadores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36"/>
        <w:gridCol w:w="7102"/>
      </w:tblGrid>
      <w:tr>
        <w:trPr>
          <w:tblHeader/>
        </w:trPr>
        <w:tc>
          <w:tcPr>
            <w:tcW w:type="dxa" w:w="2536"/>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Funcionalidade</w:t>
            </w:r>
          </w:p>
        </w:tc>
        <w:tc>
          <w:tcPr>
            <w:tcW w:type="dxa" w:w="7102"/>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Regra de negócio</w:t>
            </w:r>
          </w:p>
        </w:tc>
      </w:tr>
      <w:tr>
        <w:trPr>
          <w:cantSplit/>
        </w:trPr>
        <w:tc>
          <w:tcPr>
            <w:tcW w:type="dxa" w:w="253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Inventário por criança</w:t>
            </w:r>
          </w:p>
        </w:tc>
        <w:tc>
          <w:tcPr>
            <w:tcW w:type="dxa" w:w="71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Itens tangíveis, comestíveis (com alerta de restrições alimentares da ficha), atividades, sociais e digitais. Cada item tem categoria, foto, observações e restrições (por exemplo, “só após as 11h”).</w:t>
            </w:r>
          </w:p>
        </w:tc>
      </w:tr>
      <w:tr>
        <w:trPr>
          <w:cantSplit/>
        </w:trPr>
        <w:tc>
          <w:tcPr>
            <w:tcW w:type="dxa" w:w="253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Avaliação de preferência</w:t>
            </w:r>
          </w:p>
        </w:tc>
        <w:tc>
          <w:tcPr>
            <w:tcW w:type="dxa" w:w="710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MSWO, pareado e operante livre, nas versões presencial e digital. O MSWO digital com figuras exige sonda de pré-requisito registrada (Seção 4.8). O resultado gera hierarquia com data de validade.</w:t>
            </w:r>
          </w:p>
        </w:tc>
      </w:tr>
      <w:tr>
        <w:trPr>
          <w:cantSplit/>
        </w:trPr>
        <w:tc>
          <w:tcPr>
            <w:tcW w:type="dxa" w:w="253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Seleção na sessão</w:t>
            </w:r>
          </w:p>
        </w:tc>
        <w:tc>
          <w:tcPr>
            <w:tcW w:type="dxa" w:w="71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Na tela de aplicação, os três itens de maior preferência válida aparecem como atalho. O uso de cada item é registrado, permitindo detectar saciação.</w:t>
            </w:r>
          </w:p>
        </w:tc>
      </w:tr>
      <w:tr>
        <w:trPr>
          <w:cantSplit/>
        </w:trPr>
        <w:tc>
          <w:tcPr>
            <w:tcW w:type="dxa" w:w="253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Economia de fichas</w:t>
            </w:r>
          </w:p>
        </w:tc>
        <w:tc>
          <w:tcPr>
            <w:tcW w:type="dxa" w:w="710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Quadro digital configurável: número de fichas, figura de cada ficha, reforçador de troca escolhido antes do início, contingência (por resposta correta, por intervalo sem comportamento-problema). Sempre exibido à criança com o reforçador visível.</w:t>
            </w:r>
          </w:p>
        </w:tc>
      </w:tr>
      <w:tr>
        <w:trPr>
          <w:cantSplit/>
        </w:trPr>
        <w:tc>
          <w:tcPr>
            <w:tcW w:type="dxa" w:w="253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Tela como reforçador</w:t>
            </w:r>
          </w:p>
        </w:tc>
        <w:tc>
          <w:tcPr>
            <w:tcW w:type="dxa" w:w="71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Acesso a um jogo de lazer ou vídeo liberado pelo profissional, com cronômetro visual, aviso de término antecipado e encerramento automático. O tempo é somado ao medidor diário.</w:t>
            </w:r>
          </w:p>
        </w:tc>
      </w:tr>
      <w:tr>
        <w:trPr>
          <w:cantSplit/>
        </w:trPr>
        <w:tc>
          <w:tcPr>
            <w:tcW w:type="dxa" w:w="253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Esquemas</w:t>
            </w:r>
          </w:p>
        </w:tc>
        <w:tc>
          <w:tcPr>
            <w:tcW w:type="dxa" w:w="710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Contínuo, razão fixa, razão variável e intervalo, configuráveis por alvo. Esquemas variáveis determinam quando o reforçador é entregue, nunca o que é entregue.</w:t>
            </w:r>
          </w:p>
        </w:tc>
      </w:tr>
    </w:tbl>
    <w:p>
      <w:pPr>
        <w:spacing w:after="120"/>
      </w:pPr>
    </w:p>
    <w:p>
      <w:pPr>
        <w:pStyle w:val="Heading2"/>
        <w:keepNext/>
      </w:pPr>
      <w:r>
        <w:t xml:space="preserve">M7. Biblioteca de recursos</w:t>
      </w:r>
    </w:p>
    <w:p>
      <w:pPr>
        <w:spacing w:after="140" w:before="0" w:line="300"/>
        <w:jc w:val="left"/>
      </w:pPr>
      <w:r>
        <w:t xml:space="preserve">A biblioteca reúne tudo o que pode ser usado em sessão: jogos digitais com manifesto clínico, materiais imprimíveis gerados a partir dos conjuntos de estímulos, pranchas de comunicação em formato aberto, histórias sociais montadas por modelo, agendas visuais, vídeos de modelação gravados pela equipe com consentimento, e guias para a família. Cada recurso tem ficha com finalidade, faixa etária, nível de brincar, operantes ou domínios atendidos, modo de uso (ensino, reforçador, regulação, avaliação), pré-requisitos e evidência de suporte. A Seção 9 especifica o catálogo.</w:t>
      </w:r>
    </w:p>
    <w:p>
      <w:pPr>
        <w:pStyle w:val="Heading2"/>
        <w:keepNext/>
      </w:pPr>
      <w:r>
        <w:t xml:space="preserve">M8. Comportamento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36"/>
        <w:gridCol w:w="7102"/>
      </w:tblGrid>
      <w:tr>
        <w:trPr>
          <w:tblHeader/>
        </w:trPr>
        <w:tc>
          <w:tcPr>
            <w:tcW w:type="dxa" w:w="2536"/>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Funcionalidade</w:t>
            </w:r>
          </w:p>
        </w:tc>
        <w:tc>
          <w:tcPr>
            <w:tcW w:type="dxa" w:w="7102"/>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Regra de negócio</w:t>
            </w:r>
          </w:p>
        </w:tc>
      </w:tr>
      <w:tr>
        <w:trPr>
          <w:cantSplit/>
        </w:trPr>
        <w:tc>
          <w:tcPr>
            <w:tcW w:type="dxa" w:w="253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Definições operacionais</w:t>
            </w:r>
          </w:p>
        </w:tc>
        <w:tc>
          <w:tcPr>
            <w:tcW w:type="dxa" w:w="71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Cada comportamento-alvo tem nome, definição topográfica, exemplos e não exemplos, início e término. Sem definição aprovada, o comportamento não pode ser registrado com medida.</w:t>
            </w:r>
          </w:p>
        </w:tc>
      </w:tr>
      <w:tr>
        <w:trPr>
          <w:cantSplit/>
        </w:trPr>
        <w:tc>
          <w:tcPr>
            <w:tcW w:type="dxa" w:w="253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Medidas</w:t>
            </w:r>
          </w:p>
        </w:tc>
        <w:tc>
          <w:tcPr>
            <w:tcW w:type="dxa" w:w="710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Frequência e taxa por minuto, duração por episódio, latência, intervalo parcial, intervalo total e amostragem momentânea, com configuração de intervalo. A medida é escolhida na definição e fixa enquanto a definição vigorar.</w:t>
            </w:r>
          </w:p>
        </w:tc>
      </w:tr>
      <w:tr>
        <w:trPr>
          <w:cantSplit/>
        </w:trPr>
        <w:tc>
          <w:tcPr>
            <w:tcW w:type="dxa" w:w="253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Registro ABC</w:t>
            </w:r>
          </w:p>
        </w:tc>
        <w:tc>
          <w:tcPr>
            <w:tcW w:type="dxa" w:w="71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Antecedente, comportamento e consequência em listas configuráveis com campo livre, local, pessoa presente e atividade. Alimenta a avaliação funcional.</w:t>
            </w:r>
          </w:p>
        </w:tc>
      </w:tr>
      <w:tr>
        <w:trPr>
          <w:cantSplit/>
        </w:trPr>
        <w:tc>
          <w:tcPr>
            <w:tcW w:type="dxa" w:w="253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Plano de manejo</w:t>
            </w:r>
          </w:p>
        </w:tc>
        <w:tc>
          <w:tcPr>
            <w:tcW w:type="dxa" w:w="710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Estratégias antecedentes, comportamento alternativo a ensinar (vinculado a um alvo do plano), consequências programadas e procedimento de segurança. Exibido na tela de aplicação quando o comportamento é registrado.</w:t>
            </w:r>
          </w:p>
        </w:tc>
      </w:tr>
      <w:tr>
        <w:trPr>
          <w:cantSplit/>
        </w:trPr>
        <w:tc>
          <w:tcPr>
            <w:tcW w:type="dxa" w:w="253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Protocolo de segurança</w:t>
            </w:r>
          </w:p>
        </w:tc>
        <w:tc>
          <w:tcPr>
            <w:tcW w:type="dxa" w:w="71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Para comportamentos de risco (autolesão, agressão, fuga), protocolo de resposta definido pelo responsável técnico, registro de incidente com notificação ao supervisor e ao responsável legal conforme o plano.</w:t>
            </w:r>
          </w:p>
        </w:tc>
      </w:tr>
      <w:tr>
        <w:trPr>
          <w:cantSplit/>
        </w:trPr>
        <w:tc>
          <w:tcPr>
            <w:tcW w:type="dxa" w:w="253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Correlação com contexto</w:t>
            </w:r>
          </w:p>
        </w:tc>
        <w:tc>
          <w:tcPr>
            <w:tcW w:type="dxa" w:w="710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O registro de comportamento carrega sessão, horário, atividade, demanda presente, aplicador e reforçador em uso, o que permite as análises cruzadas da Seção 8.6.</w:t>
            </w:r>
          </w:p>
        </w:tc>
      </w:tr>
    </w:tbl>
    <w:p>
      <w:pPr>
        <w:spacing w:after="120"/>
      </w:pPr>
    </w:p>
    <w:p>
      <w:pPr>
        <w:pStyle w:val="Heading2"/>
        <w:keepNext/>
      </w:pPr>
      <w:r>
        <w:t xml:space="preserve">M9. Análise e decisão</w:t>
      </w:r>
    </w:p>
    <w:p>
      <w:pPr>
        <w:spacing w:after="140" w:before="0" w:line="300"/>
        <w:jc w:val="left"/>
      </w:pPr>
      <w:r>
        <w:t xml:space="preserve">Painel por criança com visão de todos os alvos e sua fase, gráfico individual por alvo (com linhas de mudança de fase, marcação de eventos de contexto, separação entre corretas independentes e com dica, distribuição de dicas e, opcionalmente, linhas do CDC), gráficos de comportamento com medida própria, e painel do supervisor com os alertas do motor de regras ordenados por prioridade. A especificação completa está na Seção 8.</w:t>
      </w:r>
    </w:p>
    <w:p>
      <w:pPr>
        <w:pStyle w:val="Heading2"/>
        <w:keepNext/>
      </w:pPr>
      <w:r>
        <w:t xml:space="preserve">M10. Supervisão e fidelidade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36"/>
        <w:gridCol w:w="7102"/>
      </w:tblGrid>
      <w:tr>
        <w:trPr>
          <w:tblHeader/>
        </w:trPr>
        <w:tc>
          <w:tcPr>
            <w:tcW w:type="dxa" w:w="2536"/>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Funcionalidade</w:t>
            </w:r>
          </w:p>
        </w:tc>
        <w:tc>
          <w:tcPr>
            <w:tcW w:type="dxa" w:w="7102"/>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Regra de negócio</w:t>
            </w:r>
          </w:p>
        </w:tc>
      </w:tr>
      <w:tr>
        <w:trPr>
          <w:cantSplit/>
        </w:trPr>
        <w:tc>
          <w:tcPr>
            <w:tcW w:type="dxa" w:w="253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Checklist derivado do procedimento</w:t>
            </w:r>
          </w:p>
        </w:tc>
        <w:tc>
          <w:tcPr>
            <w:tcW w:type="dxa" w:w="71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Para cada programa ABA, a plataforma gera um checklist de fidelidade a partir dos componentes do procedimento (obtém atenção, apresenta instrução conforme definida, aguarda latência, aplica dica do nível previsto, aplica consequência programada, registra). Para Denver, usa a estrutura da escala de fidelidade do modelo, com itens carregados mediante licença.</w:t>
            </w:r>
          </w:p>
        </w:tc>
      </w:tr>
      <w:tr>
        <w:trPr>
          <w:cantSplit/>
        </w:trPr>
        <w:tc>
          <w:tcPr>
            <w:tcW w:type="dxa" w:w="253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Observação de supervisão</w:t>
            </w:r>
          </w:p>
        </w:tc>
        <w:tc>
          <w:tcPr>
            <w:tcW w:type="dxa" w:w="710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Supervisor registra a observação em tempo real ou por vídeo (com consentimento), gerando percentual de fidelidade por componente e por aplicador.</w:t>
            </w:r>
          </w:p>
        </w:tc>
      </w:tr>
      <w:tr>
        <w:trPr>
          <w:cantSplit/>
        </w:trPr>
        <w:tc>
          <w:tcPr>
            <w:tcW w:type="dxa" w:w="253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Concordância entre observadores</w:t>
            </w:r>
          </w:p>
        </w:tc>
        <w:tc>
          <w:tcPr>
            <w:tcW w:type="dxa" w:w="71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Dois registradores independentes na mesma sessão geram índice de concordância por tentativa e por intervalo. Meta configurável (padrão de 80%).</w:t>
            </w:r>
          </w:p>
        </w:tc>
      </w:tr>
      <w:tr>
        <w:trPr>
          <w:cantSplit/>
        </w:trPr>
        <w:tc>
          <w:tcPr>
            <w:tcW w:type="dxa" w:w="253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Treino de equipe</w:t>
            </w:r>
          </w:p>
        </w:tc>
        <w:tc>
          <w:tcPr>
            <w:tcW w:type="dxa" w:w="710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Trilha de treino por habilidades comportamentais (instrução, modelo, ensaio, feedback), com registro de competência por procedimento. Aplicador sem competência registrada em um procedimento recebe alerta ao ser vinculado a alvo daquele procedimento.</w:t>
            </w:r>
          </w:p>
        </w:tc>
      </w:tr>
      <w:tr>
        <w:trPr>
          <w:cantSplit/>
        </w:trPr>
        <w:tc>
          <w:tcPr>
            <w:tcW w:type="dxa" w:w="253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Horas e registros de supervisão</w:t>
            </w:r>
          </w:p>
        </w:tc>
        <w:tc>
          <w:tcPr>
            <w:tcW w:type="dxa" w:w="71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Registro de horas de supervisão direta e indireta por aplicador e por caso.</w:t>
            </w:r>
          </w:p>
        </w:tc>
      </w:tr>
    </w:tbl>
    <w:p>
      <w:pPr>
        <w:spacing w:after="120"/>
      </w:pPr>
    </w:p>
    <w:p>
      <w:pPr>
        <w:pStyle w:val="Heading2"/>
        <w:keepNext/>
      </w:pPr>
      <w:r>
        <w:t xml:space="preserve">M11. Família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36"/>
        <w:gridCol w:w="7102"/>
      </w:tblGrid>
      <w:tr>
        <w:trPr>
          <w:tblHeader/>
        </w:trPr>
        <w:tc>
          <w:tcPr>
            <w:tcW w:type="dxa" w:w="2536"/>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Funcionalidade</w:t>
            </w:r>
          </w:p>
        </w:tc>
        <w:tc>
          <w:tcPr>
            <w:tcW w:type="dxa" w:w="7102"/>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Regra de negócio</w:t>
            </w:r>
          </w:p>
        </w:tc>
      </w:tr>
      <w:tr>
        <w:trPr>
          <w:cantSplit/>
        </w:trPr>
        <w:tc>
          <w:tcPr>
            <w:tcW w:type="dxa" w:w="253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Portal do responsável</w:t>
            </w:r>
          </w:p>
        </w:tc>
        <w:tc>
          <w:tcPr>
            <w:tcW w:type="dxa" w:w="71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Aplicativo ou web com linguagem acessível: o que está sendo trabalhado, progresso em gráficos simplificados, próximas sessões, orientações. Sem notas clínicas internas.</w:t>
            </w:r>
          </w:p>
        </w:tc>
      </w:tr>
      <w:tr>
        <w:trPr>
          <w:cantSplit/>
        </w:trPr>
        <w:tc>
          <w:tcPr>
            <w:tcW w:type="dxa" w:w="253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Tarefas de generalização</w:t>
            </w:r>
          </w:p>
        </w:tc>
        <w:tc>
          <w:tcPr>
            <w:tcW w:type="dxa" w:w="710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O supervisor atribui tarefas curtas para casa vinculadas a alvos (por exemplo, oferecer três oportunidades de pedir durante o lanche). A família registra de forma simples, e esses dados aparecem no gráfico do alvo como contexto doméstico, separados dos dados de sessão.</w:t>
            </w:r>
          </w:p>
        </w:tc>
      </w:tr>
      <w:tr>
        <w:trPr>
          <w:cantSplit/>
        </w:trPr>
        <w:tc>
          <w:tcPr>
            <w:tcW w:type="dxa" w:w="253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Orientação parental</w:t>
            </w:r>
          </w:p>
        </w:tc>
        <w:tc>
          <w:tcPr>
            <w:tcW w:type="dxa" w:w="71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Módulos curtos em vídeo e texto, alinhados ao modelo do caso. Em Denver, conteúdos para uso das estratégias em rotinas da casa; em ABA, para manejo e oportunidades de ensino.</w:t>
            </w:r>
          </w:p>
        </w:tc>
      </w:tr>
      <w:tr>
        <w:trPr>
          <w:cantSplit/>
        </w:trPr>
        <w:tc>
          <w:tcPr>
            <w:tcW w:type="dxa" w:w="253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Fidelidade parental</w:t>
            </w:r>
          </w:p>
        </w:tc>
        <w:tc>
          <w:tcPr>
            <w:tcW w:type="dxa" w:w="710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Quando o plano prevê implementação pelos pais, checklist simplificado de autoavaliação e observação pelo supervisor.</w:t>
            </w:r>
          </w:p>
        </w:tc>
      </w:tr>
      <w:tr>
        <w:trPr>
          <w:cantSplit/>
        </w:trPr>
        <w:tc>
          <w:tcPr>
            <w:tcW w:type="dxa" w:w="253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Validação social</w:t>
            </w:r>
          </w:p>
        </w:tc>
        <w:tc>
          <w:tcPr>
            <w:tcW w:type="dxa" w:w="71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Questionário periódico de satisfação, importância dos objetivos e aceitabilidade dos procedimentos.</w:t>
            </w:r>
          </w:p>
        </w:tc>
      </w:tr>
      <w:tr>
        <w:trPr>
          <w:cantSplit/>
        </w:trPr>
        <w:tc>
          <w:tcPr>
            <w:tcW w:type="dxa" w:w="253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Diário</w:t>
            </w:r>
          </w:p>
        </w:tc>
        <w:tc>
          <w:tcPr>
            <w:tcW w:type="dxa" w:w="710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Registro opcional de sono, alimentação, eventos e comportamentos em casa, que aparece na linha do tempo do caso.</w:t>
            </w:r>
          </w:p>
        </w:tc>
      </w:tr>
    </w:tbl>
    <w:p>
      <w:pPr>
        <w:spacing w:after="120"/>
      </w:pPr>
    </w:p>
    <w:p>
      <w:pPr>
        <w:pStyle w:val="Heading2"/>
        <w:keepNext/>
      </w:pPr>
      <w:r>
        <w:t xml:space="preserve">M12. Documentos</w:t>
      </w:r>
    </w:p>
    <w:p>
      <w:pPr>
        <w:spacing w:after="140" w:before="0" w:line="300"/>
        <w:jc w:val="left"/>
      </w:pPr>
      <w:r>
        <w:t xml:space="preserve">Geração de relatório evolutivo, relatório para escola, declaração e outros documentos a partir de modelos estruturados conforme a Res. CFP 06/2019. O sistema preenche os dados objetivos (período, alvos, resultados, gráficos) e o profissional redige a análise. Documento finalizado recebe assinatura do profissional, número de registro no conselho, data, e passa a ser imutável; reedições geram nova versão. Exportação em PDF e em Word.</w:t>
      </w:r>
    </w:p>
    <w:p>
      <w:pPr>
        <w:pStyle w:val="Heading2"/>
        <w:keepNext/>
      </w:pPr>
      <w:r>
        <w:t xml:space="preserve">M13. Portal infantil e juvenil</w:t>
      </w:r>
    </w:p>
    <w:p>
      <w:pPr>
        <w:spacing w:after="140" w:before="0" w:line="300"/>
        <w:jc w:val="left"/>
      </w:pPr>
      <w:r>
        <w:t xml:space="preserve">Ambiente de uso da criança, sempre aberto por um adulto. Mostra apenas o que foi liberado para aquela sessão: agenda visual da sessão, atividade atual, quadro de fichas e acesso à prancha de comunicação. Não há catálogo navegável, ranking, loja, notificações nem conquistas comparativas. A apresentação muda por faixa etária e perfil sensorial (Seção 10.7).</w:t>
      </w:r>
    </w:p>
    <w:p>
      <w:pPr>
        <w:pStyle w:val="Heading2"/>
        <w:keepNext/>
      </w:pPr>
      <w:r>
        <w:t xml:space="preserve">M14. Administração</w:t>
      </w:r>
    </w:p>
    <w:p>
      <w:pPr>
        <w:spacing w:after="140" w:before="0" w:line="300"/>
        <w:jc w:val="left"/>
      </w:pPr>
      <w:r>
        <w:t xml:space="preserve">Gestão de profissionais e convites, unidades, agenda de atendimentos com vínculo à sessão clínica, configurações padrão (critérios, hierarquias, limites de tela), licenças de instrumentos e auditoria de acessos. Faturamento e integração com sistemas de gestão ficam fora do escopo inicial e podem ser tratados como integração posterior.</w:t>
      </w:r>
    </w:p>
    <w:p>
      <w:pPr>
        <w:pStyle w:val="Heading1"/>
        <w:pageBreakBefore/>
      </w:pPr>
      <w:r>
        <w:t xml:space="preserve">7. Backend I: modelo de dados centrado no alvo</w:t>
      </w:r>
    </w:p>
    <w:p>
      <w:pPr>
        <w:spacing w:after="140" w:before="0" w:line="300"/>
        <w:jc w:val="left"/>
      </w:pPr>
      <w:r>
        <w:t xml:space="preserve">O modelo a seguir é um esquema novo, projetado do zero para PostgreSQL. Ele incorpora os padrões validados na base de referência (isolamento por organização, registro imutável, idempotência, sessão infantil por token) e acrescenta o que faltava: o núcleo clínico e as referências que ligam cada registro a um alvo. Os nomes de tabelas e colunas seguem o inglês em </w:t>
      </w:r>
      <w:r>
        <w:rPr>
          <w:rFonts w:ascii="Courier New" w:cs="Courier New" w:eastAsia="Courier New" w:hAnsi="Courier New"/>
          <w:sz w:val="19"/>
          <w:szCs w:val="19"/>
        </w:rPr>
        <w:t xml:space="preserve">snake_case</w:t>
      </w:r>
      <w:r>
        <w:t xml:space="preserve">, padrão de mercado que facilita bibliotecas, ferramentas e contratação.</w:t>
      </w:r>
    </w:p>
    <w:p>
      <w:pPr>
        <w:pStyle w:val="Heading2"/>
        <w:keepNext/>
      </w:pPr>
      <w:r>
        <w:t xml:space="preserve">7.1 Visão geral das entidades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82"/>
        <w:gridCol w:w="4819"/>
        <w:gridCol w:w="2537"/>
      </w:tblGrid>
      <w:tr>
        <w:trPr>
          <w:tblHeader/>
        </w:trPr>
        <w:tc>
          <w:tcPr>
            <w:tcW w:type="dxa" w:w="2282"/>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Domínio</w:t>
            </w:r>
          </w:p>
        </w:tc>
        <w:tc>
          <w:tcPr>
            <w:tcW w:type="dxa" w:w="4819"/>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Entidades</w:t>
            </w:r>
          </w:p>
        </w:tc>
        <w:tc>
          <w:tcPr>
            <w:tcW w:type="dxa" w:w="2537"/>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Observação</w:t>
            </w:r>
          </w:p>
        </w:tc>
      </w:tr>
      <w:tr>
        <w:trPr>
          <w:cantSplit/>
        </w:trPr>
        <w:tc>
          <w:tcPr>
            <w:tcW w:type="dxa" w:w="228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Identidade e acesso</w:t>
            </w:r>
          </w:p>
        </w:tc>
        <w:tc>
          <w:tcPr>
            <w:tcW w:type="dxa" w:w="481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organizations</w:t>
            </w:r>
            <w:r>
              <w:rPr>
                <w:sz w:val="18"/>
                <w:szCs w:val="18"/>
              </w:rPr>
              <w:t xml:space="preserve">, </w:t>
            </w:r>
            <w:r>
              <w:rPr>
                <w:rFonts w:ascii="Courier New" w:cs="Courier New" w:eastAsia="Courier New" w:hAnsi="Courier New"/>
                <w:sz w:val="18"/>
                <w:szCs w:val="18"/>
              </w:rPr>
              <w:t xml:space="preserve">organization_memberships</w:t>
            </w:r>
            <w:r>
              <w:rPr>
                <w:sz w:val="18"/>
                <w:szCs w:val="18"/>
              </w:rPr>
              <w:t xml:space="preserve">, </w:t>
            </w:r>
            <w:r>
              <w:rPr>
                <w:rFonts w:ascii="Courier New" w:cs="Courier New" w:eastAsia="Courier New" w:hAnsi="Courier New"/>
                <w:sz w:val="18"/>
                <w:szCs w:val="18"/>
              </w:rPr>
              <w:t xml:space="preserve">professional_profiles</w:t>
            </w:r>
            <w:r>
              <w:rPr>
                <w:sz w:val="18"/>
                <w:szCs w:val="18"/>
              </w:rPr>
              <w:t xml:space="preserve">, </w:t>
            </w:r>
            <w:r>
              <w:rPr>
                <w:rFonts w:ascii="Courier New" w:cs="Courier New" w:eastAsia="Courier New" w:hAnsi="Courier New"/>
                <w:sz w:val="18"/>
                <w:szCs w:val="18"/>
              </w:rPr>
              <w:t xml:space="preserve">case_team_members</w:t>
            </w:r>
            <w:r>
              <w:rPr>
                <w:sz w:val="18"/>
                <w:szCs w:val="18"/>
              </w:rPr>
              <w:t xml:space="preserve">, </w:t>
            </w:r>
            <w:r>
              <w:rPr>
                <w:rFonts w:ascii="Courier New" w:cs="Courier New" w:eastAsia="Courier New" w:hAnsi="Courier New"/>
                <w:sz w:val="18"/>
                <w:szCs w:val="18"/>
              </w:rPr>
              <w:t xml:space="preserve">guardians</w:t>
            </w:r>
            <w:r>
              <w:rPr>
                <w:sz w:val="18"/>
                <w:szCs w:val="18"/>
              </w:rPr>
              <w:t xml:space="preserve">, </w:t>
            </w:r>
            <w:r>
              <w:rPr>
                <w:rFonts w:ascii="Courier New" w:cs="Courier New" w:eastAsia="Courier New" w:hAnsi="Courier New"/>
                <w:sz w:val="18"/>
                <w:szCs w:val="18"/>
              </w:rPr>
              <w:t xml:space="preserve">guardian_links</w:t>
            </w:r>
            <w:r>
              <w:rPr>
                <w:sz w:val="18"/>
                <w:szCs w:val="18"/>
              </w:rPr>
              <w:t xml:space="preserve">, </w:t>
            </w:r>
            <w:r>
              <w:rPr>
                <w:rFonts w:ascii="Courier New" w:cs="Courier New" w:eastAsia="Courier New" w:hAnsi="Courier New"/>
                <w:sz w:val="18"/>
                <w:szCs w:val="18"/>
              </w:rPr>
              <w:t xml:space="preserve">consents</w:t>
            </w:r>
          </w:p>
        </w:tc>
        <w:tc>
          <w:tcPr>
            <w:tcW w:type="dxa" w:w="253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Papéis por caso; consentimento versionado por finalidade</w:t>
            </w:r>
          </w:p>
        </w:tc>
      </w:tr>
      <w:tr>
        <w:trPr>
          <w:cantSplit/>
        </w:trPr>
        <w:tc>
          <w:tcPr>
            <w:tcW w:type="dxa" w:w="228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Caso</w:t>
            </w:r>
          </w:p>
        </w:tc>
        <w:tc>
          <w:tcPr>
            <w:tcW w:type="dxa" w:w="481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children</w:t>
            </w:r>
            <w:r>
              <w:rPr>
                <w:sz w:val="18"/>
                <w:szCs w:val="18"/>
              </w:rPr>
              <w:t xml:space="preserve">, </w:t>
            </w:r>
            <w:r>
              <w:rPr>
                <w:rFonts w:ascii="Courier New" w:cs="Courier New" w:eastAsia="Courier New" w:hAnsi="Courier New"/>
                <w:sz w:val="18"/>
                <w:szCs w:val="18"/>
              </w:rPr>
              <w:t xml:space="preserve">cases</w:t>
            </w:r>
            <w:r>
              <w:rPr>
                <w:sz w:val="18"/>
                <w:szCs w:val="18"/>
              </w:rPr>
              <w:t xml:space="preserve">, </w:t>
            </w:r>
            <w:r>
              <w:rPr>
                <w:rFonts w:ascii="Courier New" w:cs="Courier New" w:eastAsia="Courier New" w:hAnsi="Courier New"/>
                <w:sz w:val="18"/>
                <w:szCs w:val="18"/>
              </w:rPr>
              <w:t xml:space="preserve">anamnesis</w:t>
            </w:r>
            <w:r>
              <w:rPr>
                <w:sz w:val="18"/>
                <w:szCs w:val="18"/>
              </w:rPr>
              <w:t xml:space="preserve">, </w:t>
            </w:r>
            <w:r>
              <w:rPr>
                <w:rFonts w:ascii="Courier New" w:cs="Courier New" w:eastAsia="Courier New" w:hAnsi="Courier New"/>
                <w:sz w:val="18"/>
                <w:szCs w:val="18"/>
              </w:rPr>
              <w:t xml:space="preserve">case_timeline_events</w:t>
            </w:r>
            <w:r>
              <w:rPr>
                <w:sz w:val="18"/>
                <w:szCs w:val="18"/>
              </w:rPr>
              <w:t xml:space="preserve">, </w:t>
            </w:r>
            <w:r>
              <w:rPr>
                <w:rFonts w:ascii="Courier New" w:cs="Courier New" w:eastAsia="Courier New" w:hAnsi="Courier New"/>
                <w:sz w:val="18"/>
                <w:szCs w:val="18"/>
              </w:rPr>
              <w:t xml:space="preserve">record_addenda</w:t>
            </w:r>
          </w:p>
        </w:tc>
        <w:tc>
          <w:tcPr>
            <w:tcW w:type="dxa" w:w="253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Um caso por período de atendimento; a criança pode ter casos sucessivos</w:t>
            </w:r>
          </w:p>
        </w:tc>
      </w:tr>
      <w:tr>
        <w:trPr>
          <w:cantSplit/>
        </w:trPr>
        <w:tc>
          <w:tcPr>
            <w:tcW w:type="dxa" w:w="228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Plano</w:t>
            </w:r>
          </w:p>
        </w:tc>
        <w:tc>
          <w:tcPr>
            <w:tcW w:type="dxa" w:w="481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intervention_plans</w:t>
            </w:r>
            <w:r>
              <w:rPr>
                <w:sz w:val="18"/>
                <w:szCs w:val="18"/>
              </w:rPr>
              <w:t xml:space="preserve">, </w:t>
            </w:r>
            <w:r>
              <w:rPr>
                <w:rFonts w:ascii="Courier New" w:cs="Courier New" w:eastAsia="Courier New" w:hAnsi="Courier New"/>
                <w:sz w:val="18"/>
                <w:szCs w:val="18"/>
              </w:rPr>
              <w:t xml:space="preserve">plan_goals</w:t>
            </w:r>
            <w:r>
              <w:rPr>
                <w:sz w:val="18"/>
                <w:szCs w:val="18"/>
              </w:rPr>
              <w:t xml:space="preserve">, </w:t>
            </w:r>
            <w:r>
              <w:rPr>
                <w:rFonts w:ascii="Courier New" w:cs="Courier New" w:eastAsia="Courier New" w:hAnsi="Courier New"/>
                <w:sz w:val="18"/>
                <w:szCs w:val="18"/>
              </w:rPr>
              <w:t xml:space="preserve">programs</w:t>
            </w:r>
            <w:r>
              <w:rPr>
                <w:sz w:val="18"/>
                <w:szCs w:val="18"/>
              </w:rPr>
              <w:t xml:space="preserve">, </w:t>
            </w:r>
            <w:r>
              <w:rPr>
                <w:rFonts w:ascii="Courier New" w:cs="Courier New" w:eastAsia="Courier New" w:hAnsi="Courier New"/>
                <w:sz w:val="18"/>
                <w:szCs w:val="18"/>
              </w:rPr>
              <w:t xml:space="preserve">targets</w:t>
            </w:r>
            <w:r>
              <w:rPr>
                <w:sz w:val="18"/>
                <w:szCs w:val="18"/>
              </w:rPr>
              <w:t xml:space="preserve">, </w:t>
            </w:r>
            <w:r>
              <w:rPr>
                <w:rFonts w:ascii="Courier New" w:cs="Courier New" w:eastAsia="Courier New" w:hAnsi="Courier New"/>
                <w:sz w:val="18"/>
                <w:szCs w:val="18"/>
              </w:rPr>
              <w:t xml:space="preserve">target_phases</w:t>
            </w:r>
            <w:r>
              <w:rPr>
                <w:sz w:val="18"/>
                <w:szCs w:val="18"/>
              </w:rPr>
              <w:t xml:space="preserve">, </w:t>
            </w:r>
            <w:r>
              <w:rPr>
                <w:rFonts w:ascii="Courier New" w:cs="Courier New" w:eastAsia="Courier New" w:hAnsi="Courier New"/>
                <w:sz w:val="18"/>
                <w:szCs w:val="18"/>
              </w:rPr>
              <w:t xml:space="preserve">denver_cycles</w:t>
            </w:r>
            <w:r>
              <w:rPr>
                <w:sz w:val="18"/>
                <w:szCs w:val="18"/>
              </w:rPr>
              <w:t xml:space="preserve">, </w:t>
            </w:r>
            <w:r>
              <w:rPr>
                <w:rFonts w:ascii="Courier New" w:cs="Courier New" w:eastAsia="Courier New" w:hAnsi="Courier New"/>
                <w:sz w:val="18"/>
                <w:szCs w:val="18"/>
              </w:rPr>
              <w:t xml:space="preserve">denver_objectives</w:t>
            </w:r>
            <w:r>
              <w:rPr>
                <w:sz w:val="18"/>
                <w:szCs w:val="18"/>
              </w:rPr>
              <w:t xml:space="preserve">, </w:t>
            </w:r>
            <w:r>
              <w:rPr>
                <w:rFonts w:ascii="Courier New" w:cs="Courier New" w:eastAsia="Courier New" w:hAnsi="Courier New"/>
                <w:sz w:val="18"/>
                <w:szCs w:val="18"/>
              </w:rPr>
              <w:t xml:space="preserve">denver_steps</w:t>
            </w:r>
          </w:p>
        </w:tc>
        <w:tc>
          <w:tcPr>
            <w:tcW w:type="dxa" w:w="253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Tabelas ABA e Denver separadas, unidas pelo plano</w:t>
            </w:r>
          </w:p>
        </w:tc>
      </w:tr>
      <w:tr>
        <w:trPr>
          <w:cantSplit/>
        </w:trPr>
        <w:tc>
          <w:tcPr>
            <w:tcW w:type="dxa" w:w="228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Bibliotecas</w:t>
            </w:r>
          </w:p>
        </w:tc>
        <w:tc>
          <w:tcPr>
            <w:tcW w:type="dxa" w:w="481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program_templates</w:t>
            </w:r>
            <w:r>
              <w:rPr>
                <w:sz w:val="18"/>
                <w:szCs w:val="18"/>
              </w:rPr>
              <w:t xml:space="preserve">, </w:t>
            </w:r>
            <w:r>
              <w:rPr>
                <w:rFonts w:ascii="Courier New" w:cs="Courier New" w:eastAsia="Courier New" w:hAnsi="Courier New"/>
                <w:sz w:val="18"/>
                <w:szCs w:val="18"/>
              </w:rPr>
              <w:t xml:space="preserve">prompt_hierarchies</w:t>
            </w:r>
            <w:r>
              <w:rPr>
                <w:sz w:val="18"/>
                <w:szCs w:val="18"/>
              </w:rPr>
              <w:t xml:space="preserve">, </w:t>
            </w:r>
            <w:r>
              <w:rPr>
                <w:rFonts w:ascii="Courier New" w:cs="Courier New" w:eastAsia="Courier New" w:hAnsi="Courier New"/>
                <w:sz w:val="18"/>
                <w:szCs w:val="18"/>
              </w:rPr>
              <w:t xml:space="preserve">prompt_levels</w:t>
            </w:r>
            <w:r>
              <w:rPr>
                <w:sz w:val="18"/>
                <w:szCs w:val="18"/>
              </w:rPr>
              <w:t xml:space="preserve">, </w:t>
            </w:r>
            <w:r>
              <w:rPr>
                <w:rFonts w:ascii="Courier New" w:cs="Courier New" w:eastAsia="Courier New" w:hAnsi="Courier New"/>
                <w:sz w:val="18"/>
                <w:szCs w:val="18"/>
              </w:rPr>
              <w:t xml:space="preserve">mastery_criteria</w:t>
            </w:r>
            <w:r>
              <w:rPr>
                <w:sz w:val="18"/>
                <w:szCs w:val="18"/>
              </w:rPr>
              <w:t xml:space="preserve">, </w:t>
            </w:r>
            <w:r>
              <w:rPr>
                <w:rFonts w:ascii="Courier New" w:cs="Courier New" w:eastAsia="Courier New" w:hAnsi="Courier New"/>
                <w:sz w:val="18"/>
                <w:szCs w:val="18"/>
              </w:rPr>
              <w:t xml:space="preserve">stimulus_sets</w:t>
            </w:r>
            <w:r>
              <w:rPr>
                <w:sz w:val="18"/>
                <w:szCs w:val="18"/>
              </w:rPr>
              <w:t xml:space="preserve">, </w:t>
            </w:r>
            <w:r>
              <w:rPr>
                <w:rFonts w:ascii="Courier New" w:cs="Courier New" w:eastAsia="Courier New" w:hAnsi="Courier New"/>
                <w:sz w:val="18"/>
                <w:szCs w:val="18"/>
              </w:rPr>
              <w:t xml:space="preserve">stimuli</w:t>
            </w:r>
            <w:r>
              <w:rPr>
                <w:sz w:val="18"/>
                <w:szCs w:val="18"/>
              </w:rPr>
              <w:t xml:space="preserve">, </w:t>
            </w:r>
            <w:r>
              <w:rPr>
                <w:rFonts w:ascii="Courier New" w:cs="Courier New" w:eastAsia="Courier New" w:hAnsi="Courier New"/>
                <w:sz w:val="18"/>
                <w:szCs w:val="18"/>
              </w:rPr>
              <w:t xml:space="preserve">behavior_definitions</w:t>
            </w:r>
          </w:p>
        </w:tc>
        <w:tc>
          <w:tcPr>
            <w:tcW w:type="dxa" w:w="253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Escopo de organização; cópia editável ao aplicar a um caso</w:t>
            </w:r>
          </w:p>
        </w:tc>
      </w:tr>
      <w:tr>
        <w:trPr>
          <w:cantSplit/>
        </w:trPr>
        <w:tc>
          <w:tcPr>
            <w:tcW w:type="dxa" w:w="228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Sessão e registro</w:t>
            </w:r>
          </w:p>
        </w:tc>
        <w:tc>
          <w:tcPr>
            <w:tcW w:type="dxa" w:w="481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sessions</w:t>
            </w:r>
            <w:r>
              <w:rPr>
                <w:sz w:val="18"/>
                <w:szCs w:val="18"/>
              </w:rPr>
              <w:t xml:space="preserve">, </w:t>
            </w:r>
            <w:r>
              <w:rPr>
                <w:rFonts w:ascii="Courier New" w:cs="Courier New" w:eastAsia="Courier New" w:hAnsi="Courier New"/>
                <w:sz w:val="18"/>
                <w:szCs w:val="18"/>
              </w:rPr>
              <w:t xml:space="preserve">session_blocks</w:t>
            </w:r>
            <w:r>
              <w:rPr>
                <w:sz w:val="18"/>
                <w:szCs w:val="18"/>
              </w:rPr>
              <w:t xml:space="preserve">, </w:t>
            </w:r>
            <w:r>
              <w:rPr>
                <w:rFonts w:ascii="Courier New" w:cs="Courier New" w:eastAsia="Courier New" w:hAnsi="Courier New"/>
                <w:sz w:val="18"/>
                <w:szCs w:val="18"/>
              </w:rPr>
              <w:t xml:space="preserve">trial_records</w:t>
            </w:r>
            <w:r>
              <w:rPr>
                <w:sz w:val="18"/>
                <w:szCs w:val="18"/>
              </w:rPr>
              <w:t xml:space="preserve">, </w:t>
            </w:r>
            <w:r>
              <w:rPr>
                <w:rFonts w:ascii="Courier New" w:cs="Courier New" w:eastAsia="Courier New" w:hAnsi="Courier New"/>
                <w:sz w:val="18"/>
                <w:szCs w:val="18"/>
              </w:rPr>
              <w:t xml:space="preserve">opportunity_records</w:t>
            </w:r>
            <w:r>
              <w:rPr>
                <w:sz w:val="18"/>
                <w:szCs w:val="18"/>
              </w:rPr>
              <w:t xml:space="preserve">, </w:t>
            </w:r>
            <w:r>
              <w:rPr>
                <w:rFonts w:ascii="Courier New" w:cs="Courier New" w:eastAsia="Courier New" w:hAnsi="Courier New"/>
                <w:sz w:val="18"/>
                <w:szCs w:val="18"/>
              </w:rPr>
              <w:t xml:space="preserve">chain_step_records</w:t>
            </w:r>
            <w:r>
              <w:rPr>
                <w:sz w:val="18"/>
                <w:szCs w:val="18"/>
              </w:rPr>
              <w:t xml:space="preserve">, </w:t>
            </w:r>
            <w:r>
              <w:rPr>
                <w:rFonts w:ascii="Courier New" w:cs="Courier New" w:eastAsia="Courier New" w:hAnsi="Courier New"/>
                <w:sz w:val="18"/>
                <w:szCs w:val="18"/>
              </w:rPr>
              <w:t xml:space="preserve">denver_routine_records</w:t>
            </w:r>
            <w:r>
              <w:rPr>
                <w:sz w:val="18"/>
                <w:szCs w:val="18"/>
              </w:rPr>
              <w:t xml:space="preserve">, </w:t>
            </w:r>
            <w:r>
              <w:rPr>
                <w:rFonts w:ascii="Courier New" w:cs="Courier New" w:eastAsia="Courier New" w:hAnsi="Courier New"/>
                <w:sz w:val="18"/>
                <w:szCs w:val="18"/>
              </w:rPr>
              <w:t xml:space="preserve">denver_step_scores</w:t>
            </w:r>
            <w:r>
              <w:rPr>
                <w:sz w:val="18"/>
                <w:szCs w:val="18"/>
              </w:rPr>
              <w:t xml:space="preserve">, </w:t>
            </w:r>
            <w:r>
              <w:rPr>
                <w:rFonts w:ascii="Courier New" w:cs="Courier New" w:eastAsia="Courier New" w:hAnsi="Courier New"/>
                <w:sz w:val="18"/>
                <w:szCs w:val="18"/>
              </w:rPr>
              <w:t xml:space="preserve">behavior_events</w:t>
            </w:r>
            <w:r>
              <w:rPr>
                <w:sz w:val="18"/>
                <w:szCs w:val="18"/>
              </w:rPr>
              <w:t xml:space="preserve">, </w:t>
            </w:r>
            <w:r>
              <w:rPr>
                <w:rFonts w:ascii="Courier New" w:cs="Courier New" w:eastAsia="Courier New" w:hAnsi="Courier New"/>
                <w:sz w:val="18"/>
                <w:szCs w:val="18"/>
              </w:rPr>
              <w:t xml:space="preserve">session_notes</w:t>
            </w:r>
          </w:p>
        </w:tc>
        <w:tc>
          <w:tcPr>
            <w:tcW w:type="dxa" w:w="253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Registros de mesa e digitais na mesma estrutura</w:t>
            </w:r>
          </w:p>
        </w:tc>
      </w:tr>
      <w:tr>
        <w:trPr>
          <w:cantSplit/>
        </w:trPr>
        <w:tc>
          <w:tcPr>
            <w:tcW w:type="dxa" w:w="228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Eventos digitais</w:t>
            </w:r>
          </w:p>
        </w:tc>
        <w:tc>
          <w:tcPr>
            <w:tcW w:type="dxa" w:w="481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activity_runs</w:t>
            </w:r>
            <w:r>
              <w:rPr>
                <w:sz w:val="18"/>
                <w:szCs w:val="18"/>
              </w:rPr>
              <w:t xml:space="preserve">, </w:t>
            </w:r>
            <w:r>
              <w:rPr>
                <w:rFonts w:ascii="Courier New" w:cs="Courier New" w:eastAsia="Courier New" w:hAnsi="Courier New"/>
                <w:sz w:val="18"/>
                <w:szCs w:val="18"/>
              </w:rPr>
              <w:t xml:space="preserve">clinical_events</w:t>
            </w:r>
            <w:r>
              <w:rPr>
                <w:sz w:val="18"/>
                <w:szCs w:val="18"/>
              </w:rPr>
              <w:t xml:space="preserve">, </w:t>
            </w:r>
            <w:r>
              <w:rPr>
                <w:rFonts w:ascii="Courier New" w:cs="Courier New" w:eastAsia="Courier New" w:hAnsi="Courier New"/>
                <w:sz w:val="18"/>
                <w:szCs w:val="18"/>
              </w:rPr>
              <w:t xml:space="preserve">event_schemas</w:t>
            </w:r>
            <w:r>
              <w:rPr>
                <w:sz w:val="18"/>
                <w:szCs w:val="18"/>
              </w:rPr>
              <w:t xml:space="preserve">, </w:t>
            </w:r>
            <w:r>
              <w:rPr>
                <w:rFonts w:ascii="Courier New" w:cs="Courier New" w:eastAsia="Courier New" w:hAnsi="Courier New"/>
                <w:sz w:val="18"/>
                <w:szCs w:val="18"/>
              </w:rPr>
              <w:t xml:space="preserve">event_quarantine</w:t>
            </w:r>
          </w:p>
        </w:tc>
        <w:tc>
          <w:tcPr>
            <w:tcW w:type="dxa" w:w="253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Protocolo com referência a alvo</w:t>
            </w:r>
          </w:p>
        </w:tc>
      </w:tr>
      <w:tr>
        <w:trPr>
          <w:cantSplit/>
        </w:trPr>
        <w:tc>
          <w:tcPr>
            <w:tcW w:type="dxa" w:w="228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Reforçadores</w:t>
            </w:r>
          </w:p>
        </w:tc>
        <w:tc>
          <w:tcPr>
            <w:tcW w:type="dxa" w:w="481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reinforcers</w:t>
            </w:r>
            <w:r>
              <w:rPr>
                <w:sz w:val="18"/>
                <w:szCs w:val="18"/>
              </w:rPr>
              <w:t xml:space="preserve">, </w:t>
            </w:r>
            <w:r>
              <w:rPr>
                <w:rFonts w:ascii="Courier New" w:cs="Courier New" w:eastAsia="Courier New" w:hAnsi="Courier New"/>
                <w:sz w:val="18"/>
                <w:szCs w:val="18"/>
              </w:rPr>
              <w:t xml:space="preserve">preference_assessments</w:t>
            </w:r>
            <w:r>
              <w:rPr>
                <w:sz w:val="18"/>
                <w:szCs w:val="18"/>
              </w:rPr>
              <w:t xml:space="preserve">, </w:t>
            </w:r>
            <w:r>
              <w:rPr>
                <w:rFonts w:ascii="Courier New" w:cs="Courier New" w:eastAsia="Courier New" w:hAnsi="Courier New"/>
                <w:sz w:val="18"/>
                <w:szCs w:val="18"/>
              </w:rPr>
              <w:t xml:space="preserve">preference_results</w:t>
            </w:r>
            <w:r>
              <w:rPr>
                <w:sz w:val="18"/>
                <w:szCs w:val="18"/>
              </w:rPr>
              <w:t xml:space="preserve">, </w:t>
            </w:r>
            <w:r>
              <w:rPr>
                <w:rFonts w:ascii="Courier New" w:cs="Courier New" w:eastAsia="Courier New" w:hAnsi="Courier New"/>
                <w:sz w:val="18"/>
                <w:szCs w:val="18"/>
              </w:rPr>
              <w:t xml:space="preserve">token_boards</w:t>
            </w:r>
            <w:r>
              <w:rPr>
                <w:sz w:val="18"/>
                <w:szCs w:val="18"/>
              </w:rPr>
              <w:t xml:space="preserve">, </w:t>
            </w:r>
            <w:r>
              <w:rPr>
                <w:rFonts w:ascii="Courier New" w:cs="Courier New" w:eastAsia="Courier New" w:hAnsi="Courier New"/>
                <w:sz w:val="18"/>
                <w:szCs w:val="18"/>
              </w:rPr>
              <w:t xml:space="preserve">reinforcer_deliveries</w:t>
            </w:r>
          </w:p>
        </w:tc>
        <w:tc>
          <w:tcPr>
            <w:tcW w:type="dxa" w:w="253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w:t>
            </w:r>
          </w:p>
        </w:tc>
      </w:tr>
      <w:tr>
        <w:trPr>
          <w:cantSplit/>
        </w:trPr>
        <w:tc>
          <w:tcPr>
            <w:tcW w:type="dxa" w:w="228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Supervisão</w:t>
            </w:r>
          </w:p>
        </w:tc>
        <w:tc>
          <w:tcPr>
            <w:tcW w:type="dxa" w:w="481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fidelity_checklists</w:t>
            </w:r>
            <w:r>
              <w:rPr>
                <w:sz w:val="18"/>
                <w:szCs w:val="18"/>
              </w:rPr>
              <w:t xml:space="preserve">, </w:t>
            </w:r>
            <w:r>
              <w:rPr>
                <w:rFonts w:ascii="Courier New" w:cs="Courier New" w:eastAsia="Courier New" w:hAnsi="Courier New"/>
                <w:sz w:val="18"/>
                <w:szCs w:val="18"/>
              </w:rPr>
              <w:t xml:space="preserve">fidelity_observations</w:t>
            </w:r>
            <w:r>
              <w:rPr>
                <w:sz w:val="18"/>
                <w:szCs w:val="18"/>
              </w:rPr>
              <w:t xml:space="preserve">, </w:t>
            </w:r>
            <w:r>
              <w:rPr>
                <w:rFonts w:ascii="Courier New" w:cs="Courier New" w:eastAsia="Courier New" w:hAnsi="Courier New"/>
                <w:sz w:val="18"/>
                <w:szCs w:val="18"/>
              </w:rPr>
              <w:t xml:space="preserve">ioa_sessions</w:t>
            </w:r>
            <w:r>
              <w:rPr>
                <w:sz w:val="18"/>
                <w:szCs w:val="18"/>
              </w:rPr>
              <w:t xml:space="preserve">, </w:t>
            </w:r>
            <w:r>
              <w:rPr>
                <w:rFonts w:ascii="Courier New" w:cs="Courier New" w:eastAsia="Courier New" w:hAnsi="Courier New"/>
                <w:sz w:val="18"/>
                <w:szCs w:val="18"/>
              </w:rPr>
              <w:t xml:space="preserve">competencies</w:t>
            </w:r>
          </w:p>
        </w:tc>
        <w:tc>
          <w:tcPr>
            <w:tcW w:type="dxa" w:w="253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w:t>
            </w:r>
          </w:p>
        </w:tc>
      </w:tr>
      <w:tr>
        <w:trPr>
          <w:cantSplit/>
        </w:trPr>
        <w:tc>
          <w:tcPr>
            <w:tcW w:type="dxa" w:w="228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Família e documentos</w:t>
            </w:r>
          </w:p>
        </w:tc>
        <w:tc>
          <w:tcPr>
            <w:tcW w:type="dxa" w:w="481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home_tasks</w:t>
            </w:r>
            <w:r>
              <w:rPr>
                <w:sz w:val="18"/>
                <w:szCs w:val="18"/>
              </w:rPr>
              <w:t xml:space="preserve">, </w:t>
            </w:r>
            <w:r>
              <w:rPr>
                <w:rFonts w:ascii="Courier New" w:cs="Courier New" w:eastAsia="Courier New" w:hAnsi="Courier New"/>
                <w:sz w:val="18"/>
                <w:szCs w:val="18"/>
              </w:rPr>
              <w:t xml:space="preserve">home_task_records</w:t>
            </w:r>
            <w:r>
              <w:rPr>
                <w:sz w:val="18"/>
                <w:szCs w:val="18"/>
              </w:rPr>
              <w:t xml:space="preserve">, </w:t>
            </w:r>
            <w:r>
              <w:rPr>
                <w:rFonts w:ascii="Courier New" w:cs="Courier New" w:eastAsia="Courier New" w:hAnsi="Courier New"/>
                <w:sz w:val="18"/>
                <w:szCs w:val="18"/>
              </w:rPr>
              <w:t xml:space="preserve">social_validity_responses</w:t>
            </w:r>
            <w:r>
              <w:rPr>
                <w:sz w:val="18"/>
                <w:szCs w:val="18"/>
              </w:rPr>
              <w:t xml:space="preserve">, </w:t>
            </w:r>
            <w:r>
              <w:rPr>
                <w:rFonts w:ascii="Courier New" w:cs="Courier New" w:eastAsia="Courier New" w:hAnsi="Courier New"/>
                <w:sz w:val="18"/>
                <w:szCs w:val="18"/>
              </w:rPr>
              <w:t xml:space="preserve">documents</w:t>
            </w:r>
            <w:r>
              <w:rPr>
                <w:sz w:val="18"/>
                <w:szCs w:val="18"/>
              </w:rPr>
              <w:t xml:space="preserve">, </w:t>
            </w:r>
            <w:r>
              <w:rPr>
                <w:rFonts w:ascii="Courier New" w:cs="Courier New" w:eastAsia="Courier New" w:hAnsi="Courier New"/>
                <w:sz w:val="18"/>
                <w:szCs w:val="18"/>
              </w:rPr>
              <w:t xml:space="preserve">document_versions</w:t>
            </w:r>
          </w:p>
        </w:tc>
        <w:tc>
          <w:tcPr>
            <w:tcW w:type="dxa" w:w="253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w:t>
            </w:r>
          </w:p>
        </w:tc>
      </w:tr>
      <w:tr>
        <w:trPr>
          <w:cantSplit/>
        </w:trPr>
        <w:tc>
          <w:tcPr>
            <w:tcW w:type="dxa" w:w="228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Projeções analíticas</w:t>
            </w:r>
          </w:p>
        </w:tc>
        <w:tc>
          <w:tcPr>
            <w:tcW w:type="dxa" w:w="481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fact_trials</w:t>
            </w:r>
            <w:r>
              <w:rPr>
                <w:sz w:val="18"/>
                <w:szCs w:val="18"/>
              </w:rPr>
              <w:t xml:space="preserve">, </w:t>
            </w:r>
            <w:r>
              <w:rPr>
                <w:rFonts w:ascii="Courier New" w:cs="Courier New" w:eastAsia="Courier New" w:hAnsi="Courier New"/>
                <w:sz w:val="18"/>
                <w:szCs w:val="18"/>
              </w:rPr>
              <w:t xml:space="preserve">fact_target_session</w:t>
            </w:r>
            <w:r>
              <w:rPr>
                <w:sz w:val="18"/>
                <w:szCs w:val="18"/>
              </w:rPr>
              <w:t xml:space="preserve">, </w:t>
            </w:r>
            <w:r>
              <w:rPr>
                <w:rFonts w:ascii="Courier New" w:cs="Courier New" w:eastAsia="Courier New" w:hAnsi="Courier New"/>
                <w:sz w:val="18"/>
                <w:szCs w:val="18"/>
              </w:rPr>
              <w:t xml:space="preserve">fact_behavior_session</w:t>
            </w:r>
            <w:r>
              <w:rPr>
                <w:sz w:val="18"/>
                <w:szCs w:val="18"/>
              </w:rPr>
              <w:t xml:space="preserve">, </w:t>
            </w:r>
            <w:r>
              <w:rPr>
                <w:rFonts w:ascii="Courier New" w:cs="Courier New" w:eastAsia="Courier New" w:hAnsi="Courier New"/>
                <w:sz w:val="18"/>
                <w:szCs w:val="18"/>
              </w:rPr>
              <w:t xml:space="preserve">target_status</w:t>
            </w:r>
            <w:r>
              <w:rPr>
                <w:sz w:val="18"/>
                <w:szCs w:val="18"/>
              </w:rPr>
              <w:t xml:space="preserve">, </w:t>
            </w:r>
            <w:r>
              <w:rPr>
                <w:rFonts w:ascii="Courier New" w:cs="Courier New" w:eastAsia="Courier New" w:hAnsi="Courier New"/>
                <w:sz w:val="18"/>
                <w:szCs w:val="18"/>
              </w:rPr>
              <w:t xml:space="preserve">decision_alerts</w:t>
            </w:r>
            <w:r>
              <w:rPr>
                <w:sz w:val="18"/>
                <w:szCs w:val="18"/>
              </w:rPr>
              <w:t xml:space="preserve">, </w:t>
            </w:r>
            <w:r>
              <w:rPr>
                <w:rFonts w:ascii="Courier New" w:cs="Courier New" w:eastAsia="Courier New" w:hAnsi="Courier New"/>
                <w:sz w:val="18"/>
                <w:szCs w:val="18"/>
              </w:rPr>
              <w:t xml:space="preserve">screen_time_ledger</w:t>
            </w:r>
          </w:p>
        </w:tc>
        <w:tc>
          <w:tcPr>
            <w:tcW w:type="dxa" w:w="253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Derivadas; reconstruíveis a partir dos registros</w:t>
            </w:r>
          </w:p>
        </w:tc>
      </w:tr>
      <w:tr>
        <w:trPr>
          <w:cantSplit/>
        </w:trPr>
        <w:tc>
          <w:tcPr>
            <w:tcW w:type="dxa" w:w="228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Auditoria</w:t>
            </w:r>
          </w:p>
        </w:tc>
        <w:tc>
          <w:tcPr>
            <w:tcW w:type="dxa" w:w="481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audit_log</w:t>
            </w:r>
            <w:r>
              <w:rPr>
                <w:sz w:val="18"/>
                <w:szCs w:val="18"/>
              </w:rPr>
              <w:t xml:space="preserve"> (leitura e escrita de dados clínicos)</w:t>
            </w:r>
          </w:p>
        </w:tc>
        <w:tc>
          <w:tcPr>
            <w:tcW w:type="dxa" w:w="253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Append-only, retenção igual à do prontuário</w:t>
            </w:r>
          </w:p>
        </w:tc>
      </w:tr>
    </w:tbl>
    <w:p>
      <w:pPr>
        <w:spacing w:after="120"/>
      </w:pPr>
    </w:p>
    <w:p>
      <w:pPr>
        <w:pStyle w:val="Heading2"/>
        <w:keepNext/>
      </w:pPr>
      <w:r>
        <w:t xml:space="preserve">7.2 Entidades centrais e campos-chave</w:t>
      </w:r>
    </w:p>
    <w:p>
      <w:pPr>
        <w:pStyle w:val="Heading3"/>
        <w:keepNext/>
      </w:pPr>
      <w:r>
        <w:t xml:space="preserve">Caso e plano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5072"/>
        <w:gridCol w:w="2537"/>
      </w:tblGrid>
      <w:tr>
        <w:trPr>
          <w:tblHeader/>
        </w:trPr>
        <w:tc>
          <w:tcPr>
            <w:tcW w:type="dxa" w:w="2029"/>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Tabela</w:t>
            </w:r>
          </w:p>
        </w:tc>
        <w:tc>
          <w:tcPr>
            <w:tcW w:type="dxa" w:w="5072"/>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Campos-chave</w:t>
            </w:r>
          </w:p>
        </w:tc>
        <w:tc>
          <w:tcPr>
            <w:tcW w:type="dxa" w:w="2537"/>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Restrições</w:t>
            </w:r>
          </w:p>
        </w:tc>
      </w:tr>
      <w:tr>
        <w:trPr>
          <w:cantSplit/>
        </w:trPr>
        <w:tc>
          <w:tcPr>
            <w:tcW w:type="dxa" w:w="202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cases</w:t>
            </w:r>
          </w:p>
        </w:tc>
        <w:tc>
          <w:tcPr>
            <w:tcW w:type="dxa" w:w="507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id</w:t>
            </w:r>
            <w:r>
              <w:rPr>
                <w:sz w:val="18"/>
                <w:szCs w:val="18"/>
              </w:rPr>
              <w:t xml:space="preserve">, </w:t>
            </w:r>
            <w:r>
              <w:rPr>
                <w:rFonts w:ascii="Courier New" w:cs="Courier New" w:eastAsia="Courier New" w:hAnsi="Courier New"/>
                <w:sz w:val="18"/>
                <w:szCs w:val="18"/>
              </w:rPr>
              <w:t xml:space="preserve">organization_id</w:t>
            </w:r>
            <w:r>
              <w:rPr>
                <w:sz w:val="18"/>
                <w:szCs w:val="18"/>
              </w:rPr>
              <w:t xml:space="preserve">, </w:t>
            </w:r>
            <w:r>
              <w:rPr>
                <w:rFonts w:ascii="Courier New" w:cs="Courier New" w:eastAsia="Courier New" w:hAnsi="Courier New"/>
                <w:sz w:val="18"/>
                <w:szCs w:val="18"/>
              </w:rPr>
              <w:t xml:space="preserve">child_id</w:t>
            </w:r>
            <w:r>
              <w:rPr>
                <w:sz w:val="18"/>
                <w:szCs w:val="18"/>
              </w:rPr>
              <w:t xml:space="preserve">, </w:t>
            </w:r>
            <w:r>
              <w:rPr>
                <w:rFonts w:ascii="Courier New" w:cs="Courier New" w:eastAsia="Courier New" w:hAnsi="Courier New"/>
                <w:sz w:val="18"/>
                <w:szCs w:val="18"/>
              </w:rPr>
              <w:t xml:space="preserve">status</w:t>
            </w:r>
            <w:r>
              <w:rPr>
                <w:sz w:val="18"/>
                <w:szCs w:val="18"/>
              </w:rPr>
              <w:t xml:space="preserve"> (ativo, em pausa, encerrado), </w:t>
            </w:r>
            <w:r>
              <w:rPr>
                <w:rFonts w:ascii="Courier New" w:cs="Courier New" w:eastAsia="Courier New" w:hAnsi="Courier New"/>
                <w:sz w:val="18"/>
                <w:szCs w:val="18"/>
              </w:rPr>
              <w:t xml:space="preserve">opened_at</w:t>
            </w:r>
            <w:r>
              <w:rPr>
                <w:sz w:val="18"/>
                <w:szCs w:val="18"/>
              </w:rPr>
              <w:t xml:space="preserve">, </w:t>
            </w:r>
            <w:r>
              <w:rPr>
                <w:rFonts w:ascii="Courier New" w:cs="Courier New" w:eastAsia="Courier New" w:hAnsi="Courier New"/>
                <w:sz w:val="18"/>
                <w:szCs w:val="18"/>
              </w:rPr>
              <w:t xml:space="preserve">closed_at</w:t>
            </w:r>
            <w:r>
              <w:rPr>
                <w:sz w:val="18"/>
                <w:szCs w:val="18"/>
              </w:rPr>
              <w:t xml:space="preserve">, </w:t>
            </w:r>
            <w:r>
              <w:rPr>
                <w:rFonts w:ascii="Courier New" w:cs="Courier New" w:eastAsia="Courier New" w:hAnsi="Courier New"/>
                <w:sz w:val="18"/>
                <w:szCs w:val="18"/>
              </w:rPr>
              <w:t xml:space="preserve">closing_reason</w:t>
            </w:r>
            <w:r>
              <w:rPr>
                <w:sz w:val="18"/>
                <w:szCs w:val="18"/>
              </w:rPr>
              <w:t xml:space="preserve">, </w:t>
            </w:r>
            <w:r>
              <w:rPr>
                <w:rFonts w:ascii="Courier New" w:cs="Courier New" w:eastAsia="Courier New" w:hAnsi="Courier New"/>
                <w:sz w:val="18"/>
                <w:szCs w:val="18"/>
              </w:rPr>
              <w:t xml:space="preserve">responsible_professional_id</w:t>
            </w:r>
          </w:p>
        </w:tc>
        <w:tc>
          <w:tcPr>
            <w:tcW w:type="dxa" w:w="253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Um único caso ativo por criança por organização</w:t>
            </w:r>
          </w:p>
        </w:tc>
      </w:tr>
      <w:tr>
        <w:trPr>
          <w:cantSplit/>
        </w:trPr>
        <w:tc>
          <w:tcPr>
            <w:tcW w:type="dxa" w:w="202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intervention_plans</w:t>
            </w:r>
          </w:p>
        </w:tc>
        <w:tc>
          <w:tcPr>
            <w:tcW w:type="dxa" w:w="507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id</w:t>
            </w:r>
            <w:r>
              <w:rPr>
                <w:sz w:val="18"/>
                <w:szCs w:val="18"/>
              </w:rPr>
              <w:t xml:space="preserve">, </w:t>
            </w:r>
            <w:r>
              <w:rPr>
                <w:rFonts w:ascii="Courier New" w:cs="Courier New" w:eastAsia="Courier New" w:hAnsi="Courier New"/>
                <w:sz w:val="18"/>
                <w:szCs w:val="18"/>
              </w:rPr>
              <w:t xml:space="preserve">case_id</w:t>
            </w:r>
            <w:r>
              <w:rPr>
                <w:sz w:val="18"/>
                <w:szCs w:val="18"/>
              </w:rPr>
              <w:t xml:space="preserve">, </w:t>
            </w:r>
            <w:r>
              <w:rPr>
                <w:rFonts w:ascii="Courier New" w:cs="Courier New" w:eastAsia="Courier New" w:hAnsi="Courier New"/>
                <w:sz w:val="18"/>
                <w:szCs w:val="18"/>
              </w:rPr>
              <w:t xml:space="preserve">model</w:t>
            </w:r>
            <w:r>
              <w:rPr>
                <w:sz w:val="18"/>
                <w:szCs w:val="18"/>
              </w:rPr>
              <w:t xml:space="preserve"> (</w:t>
            </w:r>
            <w:r>
              <w:rPr>
                <w:rFonts w:ascii="Courier New" w:cs="Courier New" w:eastAsia="Courier New" w:hAnsi="Courier New"/>
                <w:sz w:val="18"/>
                <w:szCs w:val="18"/>
              </w:rPr>
              <w:t xml:space="preserve">ABA</w:t>
            </w:r>
            <w:r>
              <w:rPr>
                <w:sz w:val="18"/>
                <w:szCs w:val="18"/>
              </w:rPr>
              <w:t xml:space="preserve"> | </w:t>
            </w:r>
            <w:r>
              <w:rPr>
                <w:rFonts w:ascii="Courier New" w:cs="Courier New" w:eastAsia="Courier New" w:hAnsi="Courier New"/>
                <w:sz w:val="18"/>
                <w:szCs w:val="18"/>
              </w:rPr>
              <w:t xml:space="preserve">DENVER</w:t>
            </w:r>
            <w:r>
              <w:rPr>
                <w:sz w:val="18"/>
                <w:szCs w:val="18"/>
              </w:rPr>
              <w:t xml:space="preserve">), </w:t>
            </w:r>
            <w:r>
              <w:rPr>
                <w:rFonts w:ascii="Courier New" w:cs="Courier New" w:eastAsia="Courier New" w:hAnsi="Courier New"/>
                <w:sz w:val="18"/>
                <w:szCs w:val="18"/>
              </w:rPr>
              <w:t xml:space="preserve">version</w:t>
            </w:r>
            <w:r>
              <w:rPr>
                <w:sz w:val="18"/>
                <w:szCs w:val="18"/>
              </w:rPr>
              <w:t xml:space="preserve">, </w:t>
            </w:r>
            <w:r>
              <w:rPr>
                <w:rFonts w:ascii="Courier New" w:cs="Courier New" w:eastAsia="Courier New" w:hAnsi="Courier New"/>
                <w:sz w:val="18"/>
                <w:szCs w:val="18"/>
              </w:rPr>
              <w:t xml:space="preserve">status</w:t>
            </w:r>
            <w:r>
              <w:rPr>
                <w:sz w:val="18"/>
                <w:szCs w:val="18"/>
              </w:rPr>
              <w:t xml:space="preserve"> (rascunho, vigente, encerrado), </w:t>
            </w:r>
            <w:r>
              <w:rPr>
                <w:rFonts w:ascii="Courier New" w:cs="Courier New" w:eastAsia="Courier New" w:hAnsi="Courier New"/>
                <w:sz w:val="18"/>
                <w:szCs w:val="18"/>
              </w:rPr>
              <w:t xml:space="preserve">starts_on</w:t>
            </w:r>
            <w:r>
              <w:rPr>
                <w:sz w:val="18"/>
                <w:szCs w:val="18"/>
              </w:rPr>
              <w:t xml:space="preserve">, </w:t>
            </w:r>
            <w:r>
              <w:rPr>
                <w:rFonts w:ascii="Courier New" w:cs="Courier New" w:eastAsia="Courier New" w:hAnsi="Courier New"/>
                <w:sz w:val="18"/>
                <w:szCs w:val="18"/>
              </w:rPr>
              <w:t xml:space="preserve">review_on</w:t>
            </w:r>
            <w:r>
              <w:rPr>
                <w:sz w:val="18"/>
                <w:szCs w:val="18"/>
              </w:rPr>
              <w:t xml:space="preserve">, </w:t>
            </w:r>
            <w:r>
              <w:rPr>
                <w:rFonts w:ascii="Courier New" w:cs="Courier New" w:eastAsia="Courier New" w:hAnsi="Courier New"/>
                <w:sz w:val="18"/>
                <w:szCs w:val="18"/>
              </w:rPr>
              <w:t xml:space="preserve">approved_by</w:t>
            </w:r>
            <w:r>
              <w:rPr>
                <w:sz w:val="18"/>
                <w:szCs w:val="18"/>
              </w:rPr>
              <w:t xml:space="preserve">, </w:t>
            </w:r>
            <w:r>
              <w:rPr>
                <w:rFonts w:ascii="Courier New" w:cs="Courier New" w:eastAsia="Courier New" w:hAnsi="Courier New"/>
                <w:sz w:val="18"/>
                <w:szCs w:val="18"/>
              </w:rPr>
              <w:t xml:space="preserve">approved_at</w:t>
            </w:r>
            <w:r>
              <w:rPr>
                <w:sz w:val="18"/>
                <w:szCs w:val="18"/>
              </w:rPr>
              <w:t xml:space="preserve">, </w:t>
            </w:r>
            <w:r>
              <w:rPr>
                <w:rFonts w:ascii="Courier New" w:cs="Courier New" w:eastAsia="Courier New" w:hAnsi="Courier New"/>
                <w:sz w:val="18"/>
                <w:szCs w:val="18"/>
              </w:rPr>
              <w:t xml:space="preserve">supersedes_plan_id</w:t>
            </w:r>
            <w:r>
              <w:rPr>
                <w:sz w:val="18"/>
                <w:szCs w:val="18"/>
              </w:rPr>
              <w:t xml:space="preserve">, </w:t>
            </w:r>
            <w:r>
              <w:rPr>
                <w:rFonts w:ascii="Courier New" w:cs="Courier New" w:eastAsia="Courier New" w:hAnsi="Courier New"/>
                <w:sz w:val="18"/>
                <w:szCs w:val="18"/>
              </w:rPr>
              <w:t xml:space="preserve">transition_reason</w:t>
            </w:r>
          </w:p>
        </w:tc>
        <w:tc>
          <w:tcPr>
            <w:tcW w:type="dxa" w:w="253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model</w:t>
            </w:r>
            <w:r>
              <w:rPr>
                <w:sz w:val="18"/>
                <w:szCs w:val="18"/>
              </w:rPr>
              <w:t xml:space="preserve"> obrigatório e imutável após aprovação; um único plano vigente por caso</w:t>
            </w:r>
          </w:p>
        </w:tc>
      </w:tr>
      <w:tr>
        <w:trPr>
          <w:cantSplit/>
        </w:trPr>
        <w:tc>
          <w:tcPr>
            <w:tcW w:type="dxa" w:w="202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plan_goals</w:t>
            </w:r>
          </w:p>
        </w:tc>
        <w:tc>
          <w:tcPr>
            <w:tcW w:type="dxa" w:w="507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id</w:t>
            </w:r>
            <w:r>
              <w:rPr>
                <w:sz w:val="18"/>
                <w:szCs w:val="18"/>
              </w:rPr>
              <w:t xml:space="preserve">, </w:t>
            </w:r>
            <w:r>
              <w:rPr>
                <w:rFonts w:ascii="Courier New" w:cs="Courier New" w:eastAsia="Courier New" w:hAnsi="Courier New"/>
                <w:sz w:val="18"/>
                <w:szCs w:val="18"/>
              </w:rPr>
              <w:t xml:space="preserve">plan_id</w:t>
            </w:r>
            <w:r>
              <w:rPr>
                <w:sz w:val="18"/>
                <w:szCs w:val="18"/>
              </w:rPr>
              <w:t xml:space="preserve">, </w:t>
            </w:r>
            <w:r>
              <w:rPr>
                <w:rFonts w:ascii="Courier New" w:cs="Courier New" w:eastAsia="Courier New" w:hAnsi="Courier New"/>
                <w:sz w:val="18"/>
                <w:szCs w:val="18"/>
              </w:rPr>
              <w:t xml:space="preserve">domain</w:t>
            </w:r>
            <w:r>
              <w:rPr>
                <w:sz w:val="18"/>
                <w:szCs w:val="18"/>
              </w:rPr>
              <w:t xml:space="preserve">, </w:t>
            </w:r>
            <w:r>
              <w:rPr>
                <w:rFonts w:ascii="Courier New" w:cs="Courier New" w:eastAsia="Courier New" w:hAnsi="Courier New"/>
                <w:sz w:val="18"/>
                <w:szCs w:val="18"/>
              </w:rPr>
              <w:t xml:space="preserve">description</w:t>
            </w:r>
            <w:r>
              <w:rPr>
                <w:sz w:val="18"/>
                <w:szCs w:val="18"/>
              </w:rPr>
              <w:t xml:space="preserve">, </w:t>
            </w:r>
            <w:r>
              <w:rPr>
                <w:rFonts w:ascii="Courier New" w:cs="Courier New" w:eastAsia="Courier New" w:hAnsi="Courier New"/>
                <w:sz w:val="18"/>
                <w:szCs w:val="18"/>
              </w:rPr>
              <w:t xml:space="preserve">priority</w:t>
            </w:r>
            <w:r>
              <w:rPr>
                <w:sz w:val="18"/>
                <w:szCs w:val="18"/>
              </w:rPr>
              <w:t xml:space="preserve">, </w:t>
            </w:r>
            <w:r>
              <w:rPr>
                <w:rFonts w:ascii="Courier New" w:cs="Courier New" w:eastAsia="Courier New" w:hAnsi="Courier New"/>
                <w:sz w:val="18"/>
                <w:szCs w:val="18"/>
              </w:rPr>
              <w:t xml:space="preserve">status</w:t>
            </w:r>
          </w:p>
        </w:tc>
        <w:tc>
          <w:tcPr>
            <w:tcW w:type="dxa" w:w="253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Só existe em plano ABA (objetivos de longo prazo)</w:t>
            </w:r>
          </w:p>
        </w:tc>
      </w:tr>
      <w:tr>
        <w:trPr>
          <w:cantSplit/>
        </w:trPr>
        <w:tc>
          <w:tcPr>
            <w:tcW w:type="dxa" w:w="202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programs</w:t>
            </w:r>
          </w:p>
        </w:tc>
        <w:tc>
          <w:tcPr>
            <w:tcW w:type="dxa" w:w="507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id</w:t>
            </w:r>
            <w:r>
              <w:rPr>
                <w:sz w:val="18"/>
                <w:szCs w:val="18"/>
              </w:rPr>
              <w:t xml:space="preserve">, </w:t>
            </w:r>
            <w:r>
              <w:rPr>
                <w:rFonts w:ascii="Courier New" w:cs="Courier New" w:eastAsia="Courier New" w:hAnsi="Courier New"/>
                <w:sz w:val="18"/>
                <w:szCs w:val="18"/>
              </w:rPr>
              <w:t xml:space="preserve">plan_id</w:t>
            </w:r>
            <w:r>
              <w:rPr>
                <w:sz w:val="18"/>
                <w:szCs w:val="18"/>
              </w:rPr>
              <w:t xml:space="preserve">, </w:t>
            </w:r>
            <w:r>
              <w:rPr>
                <w:rFonts w:ascii="Courier New" w:cs="Courier New" w:eastAsia="Courier New" w:hAnsi="Courier New"/>
                <w:sz w:val="18"/>
                <w:szCs w:val="18"/>
              </w:rPr>
              <w:t xml:space="preserve">goal_id</w:t>
            </w:r>
            <w:r>
              <w:rPr>
                <w:sz w:val="18"/>
                <w:szCs w:val="18"/>
              </w:rPr>
              <w:t xml:space="preserve">, </w:t>
            </w:r>
            <w:r>
              <w:rPr>
                <w:rFonts w:ascii="Courier New" w:cs="Courier New" w:eastAsia="Courier New" w:hAnsi="Courier New"/>
                <w:sz w:val="18"/>
                <w:szCs w:val="18"/>
              </w:rPr>
              <w:t xml:space="preserve">template_id</w:t>
            </w:r>
            <w:r>
              <w:rPr>
                <w:sz w:val="18"/>
                <w:szCs w:val="18"/>
              </w:rPr>
              <w:t xml:space="preserve">, </w:t>
            </w:r>
            <w:r>
              <w:rPr>
                <w:rFonts w:ascii="Courier New" w:cs="Courier New" w:eastAsia="Courier New" w:hAnsi="Courier New"/>
                <w:sz w:val="18"/>
                <w:szCs w:val="18"/>
              </w:rPr>
              <w:t xml:space="preserve">name</w:t>
            </w:r>
            <w:r>
              <w:rPr>
                <w:sz w:val="18"/>
                <w:szCs w:val="18"/>
              </w:rPr>
              <w:t xml:space="preserve">, </w:t>
            </w:r>
            <w:r>
              <w:rPr>
                <w:rFonts w:ascii="Courier New" w:cs="Courier New" w:eastAsia="Courier New" w:hAnsi="Courier New"/>
                <w:sz w:val="18"/>
                <w:szCs w:val="18"/>
              </w:rPr>
              <w:t xml:space="preserve">repertoire</w:t>
            </w:r>
            <w:r>
              <w:rPr>
                <w:sz w:val="18"/>
                <w:szCs w:val="18"/>
              </w:rPr>
              <w:t xml:space="preserve"> (mando, tato, ouvinte, imitação, pareamento, social, brincar, AVD, acadêmico, comportamento alternativo), </w:t>
            </w:r>
            <w:r>
              <w:rPr>
                <w:rFonts w:ascii="Courier New" w:cs="Courier New" w:eastAsia="Courier New" w:hAnsi="Courier New"/>
                <w:sz w:val="18"/>
                <w:szCs w:val="18"/>
              </w:rPr>
              <w:t xml:space="preserve">procedure</w:t>
            </w:r>
            <w:r>
              <w:rPr>
                <w:sz w:val="18"/>
                <w:szCs w:val="18"/>
              </w:rPr>
              <w:t xml:space="preserve"> (DTT, NET, encadeamento, fluência), </w:t>
            </w:r>
            <w:r>
              <w:rPr>
                <w:rFonts w:ascii="Courier New" w:cs="Courier New" w:eastAsia="Courier New" w:hAnsi="Courier New"/>
                <w:sz w:val="18"/>
                <w:szCs w:val="18"/>
              </w:rPr>
              <w:t xml:space="preserve">operational_definition</w:t>
            </w:r>
            <w:r>
              <w:rPr>
                <w:sz w:val="18"/>
                <w:szCs w:val="18"/>
              </w:rPr>
              <w:t xml:space="preserve">, </w:t>
            </w:r>
            <w:r>
              <w:rPr>
                <w:rFonts w:ascii="Courier New" w:cs="Courier New" w:eastAsia="Courier New" w:hAnsi="Courier New"/>
                <w:sz w:val="18"/>
                <w:szCs w:val="18"/>
              </w:rPr>
              <w:t xml:space="preserve">sd_description</w:t>
            </w:r>
            <w:r>
              <w:rPr>
                <w:sz w:val="18"/>
                <w:szCs w:val="18"/>
              </w:rPr>
              <w:t xml:space="preserve">, </w:t>
            </w:r>
            <w:r>
              <w:rPr>
                <w:rFonts w:ascii="Courier New" w:cs="Courier New" w:eastAsia="Courier New" w:hAnsi="Courier New"/>
                <w:sz w:val="18"/>
                <w:szCs w:val="18"/>
              </w:rPr>
              <w:t xml:space="preserve">prompt_hierarchy_id</w:t>
            </w:r>
            <w:r>
              <w:rPr>
                <w:sz w:val="18"/>
                <w:szCs w:val="18"/>
              </w:rPr>
              <w:t xml:space="preserve">, </w:t>
            </w:r>
            <w:r>
              <w:rPr>
                <w:rFonts w:ascii="Courier New" w:cs="Courier New" w:eastAsia="Courier New" w:hAnsi="Courier New"/>
                <w:sz w:val="18"/>
                <w:szCs w:val="18"/>
              </w:rPr>
              <w:t xml:space="preserve">error_correction</w:t>
            </w:r>
            <w:r>
              <w:rPr>
                <w:sz w:val="18"/>
                <w:szCs w:val="18"/>
              </w:rPr>
              <w:t xml:space="preserve">, </w:t>
            </w:r>
            <w:r>
              <w:rPr>
                <w:rFonts w:ascii="Courier New" w:cs="Courier New" w:eastAsia="Courier New" w:hAnsi="Courier New"/>
                <w:sz w:val="18"/>
                <w:szCs w:val="18"/>
              </w:rPr>
              <w:t xml:space="preserve">default_mastery_id</w:t>
            </w:r>
            <w:r>
              <w:rPr>
                <w:sz w:val="18"/>
                <w:szCs w:val="18"/>
              </w:rPr>
              <w:t xml:space="preserve">, </w:t>
            </w:r>
            <w:r>
              <w:rPr>
                <w:rFonts w:ascii="Courier New" w:cs="Courier New" w:eastAsia="Courier New" w:hAnsi="Courier New"/>
                <w:sz w:val="18"/>
                <w:szCs w:val="18"/>
              </w:rPr>
              <w:t xml:space="preserve">reinforcement_schedule</w:t>
            </w:r>
          </w:p>
        </w:tc>
        <w:tc>
          <w:tcPr>
            <w:tcW w:type="dxa" w:w="253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Só em plano ABA</w:t>
            </w:r>
          </w:p>
        </w:tc>
      </w:tr>
      <w:tr>
        <w:trPr>
          <w:cantSplit/>
        </w:trPr>
        <w:tc>
          <w:tcPr>
            <w:tcW w:type="dxa" w:w="202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targets</w:t>
            </w:r>
          </w:p>
        </w:tc>
        <w:tc>
          <w:tcPr>
            <w:tcW w:type="dxa" w:w="507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id</w:t>
            </w:r>
            <w:r>
              <w:rPr>
                <w:sz w:val="18"/>
                <w:szCs w:val="18"/>
              </w:rPr>
              <w:t xml:space="preserve">, </w:t>
            </w:r>
            <w:r>
              <w:rPr>
                <w:rFonts w:ascii="Courier New" w:cs="Courier New" w:eastAsia="Courier New" w:hAnsi="Courier New"/>
                <w:sz w:val="18"/>
                <w:szCs w:val="18"/>
              </w:rPr>
              <w:t xml:space="preserve">program_id</w:t>
            </w:r>
            <w:r>
              <w:rPr>
                <w:sz w:val="18"/>
                <w:szCs w:val="18"/>
              </w:rPr>
              <w:t xml:space="preserve">, </w:t>
            </w:r>
            <w:r>
              <w:rPr>
                <w:rFonts w:ascii="Courier New" w:cs="Courier New" w:eastAsia="Courier New" w:hAnsi="Courier New"/>
                <w:sz w:val="18"/>
                <w:szCs w:val="18"/>
              </w:rPr>
              <w:t xml:space="preserve">name</w:t>
            </w:r>
            <w:r>
              <w:rPr>
                <w:sz w:val="18"/>
                <w:szCs w:val="18"/>
              </w:rPr>
              <w:t xml:space="preserve">, </w:t>
            </w:r>
            <w:r>
              <w:rPr>
                <w:rFonts w:ascii="Courier New" w:cs="Courier New" w:eastAsia="Courier New" w:hAnsi="Courier New"/>
                <w:sz w:val="18"/>
                <w:szCs w:val="18"/>
              </w:rPr>
              <w:t xml:space="preserve">stimulus_set_id</w:t>
            </w:r>
            <w:r>
              <w:rPr>
                <w:sz w:val="18"/>
                <w:szCs w:val="18"/>
              </w:rPr>
              <w:t xml:space="preserve">, </w:t>
            </w:r>
            <w:r>
              <w:rPr>
                <w:rFonts w:ascii="Courier New" w:cs="Courier New" w:eastAsia="Courier New" w:hAnsi="Courier New"/>
                <w:sz w:val="18"/>
                <w:szCs w:val="18"/>
              </w:rPr>
              <w:t xml:space="preserve">mastery_criteria_id</w:t>
            </w:r>
            <w:r>
              <w:rPr>
                <w:sz w:val="18"/>
                <w:szCs w:val="18"/>
              </w:rPr>
              <w:t xml:space="preserve">, </w:t>
            </w:r>
            <w:r>
              <w:rPr>
                <w:rFonts w:ascii="Courier New" w:cs="Courier New" w:eastAsia="Courier New" w:hAnsi="Courier New"/>
                <w:sz w:val="18"/>
                <w:szCs w:val="18"/>
              </w:rPr>
              <w:t xml:space="preserve">current_phase</w:t>
            </w:r>
            <w:r>
              <w:rPr>
                <w:sz w:val="18"/>
                <w:szCs w:val="18"/>
              </w:rPr>
              <w:t xml:space="preserve">, </w:t>
            </w:r>
            <w:r>
              <w:rPr>
                <w:rFonts w:ascii="Courier New" w:cs="Courier New" w:eastAsia="Courier New" w:hAnsi="Courier New"/>
                <w:sz w:val="18"/>
                <w:szCs w:val="18"/>
              </w:rPr>
              <w:t xml:space="preserve">phase_changed_at</w:t>
            </w:r>
            <w:r>
              <w:rPr>
                <w:sz w:val="18"/>
                <w:szCs w:val="18"/>
              </w:rPr>
              <w:t xml:space="preserve">, </w:t>
            </w:r>
            <w:r>
              <w:rPr>
                <w:rFonts w:ascii="Courier New" w:cs="Courier New" w:eastAsia="Courier New" w:hAnsi="Courier New"/>
                <w:sz w:val="18"/>
                <w:szCs w:val="18"/>
              </w:rPr>
              <w:t xml:space="preserve">phase_changed_by</w:t>
            </w:r>
            <w:r>
              <w:rPr>
                <w:sz w:val="18"/>
                <w:szCs w:val="18"/>
              </w:rPr>
              <w:t xml:space="preserve">, </w:t>
            </w:r>
            <w:r>
              <w:rPr>
                <w:rFonts w:ascii="Courier New" w:cs="Courier New" w:eastAsia="Courier New" w:hAnsi="Courier New"/>
                <w:sz w:val="18"/>
                <w:szCs w:val="18"/>
              </w:rPr>
              <w:t xml:space="preserve">status</w:t>
            </w:r>
          </w:p>
        </w:tc>
        <w:tc>
          <w:tcPr>
            <w:tcW w:type="dxa" w:w="253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Fase só muda por função </w:t>
            </w:r>
            <w:r>
              <w:rPr>
                <w:rFonts w:ascii="Courier New" w:cs="Courier New" w:eastAsia="Courier New" w:hAnsi="Courier New"/>
                <w:sz w:val="18"/>
                <w:szCs w:val="18"/>
              </w:rPr>
              <w:t xml:space="preserve">change_target_phase</w:t>
            </w:r>
            <w:r>
              <w:rPr>
                <w:sz w:val="18"/>
                <w:szCs w:val="18"/>
              </w:rPr>
              <w:t xml:space="preserve"> com justificativa</w:t>
            </w:r>
          </w:p>
        </w:tc>
      </w:tr>
      <w:tr>
        <w:trPr>
          <w:cantSplit/>
        </w:trPr>
        <w:tc>
          <w:tcPr>
            <w:tcW w:type="dxa" w:w="202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denver_cycles</w:t>
            </w:r>
          </w:p>
        </w:tc>
        <w:tc>
          <w:tcPr>
            <w:tcW w:type="dxa" w:w="507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id</w:t>
            </w:r>
            <w:r>
              <w:rPr>
                <w:sz w:val="18"/>
                <w:szCs w:val="18"/>
              </w:rPr>
              <w:t xml:space="preserve">, </w:t>
            </w:r>
            <w:r>
              <w:rPr>
                <w:rFonts w:ascii="Courier New" w:cs="Courier New" w:eastAsia="Courier New" w:hAnsi="Courier New"/>
                <w:sz w:val="18"/>
                <w:szCs w:val="18"/>
              </w:rPr>
              <w:t xml:space="preserve">plan_id</w:t>
            </w:r>
            <w:r>
              <w:rPr>
                <w:sz w:val="18"/>
                <w:szCs w:val="18"/>
              </w:rPr>
              <w:t xml:space="preserve">, </w:t>
            </w:r>
            <w:r>
              <w:rPr>
                <w:rFonts w:ascii="Courier New" w:cs="Courier New" w:eastAsia="Courier New" w:hAnsi="Courier New"/>
                <w:sz w:val="18"/>
                <w:szCs w:val="18"/>
              </w:rPr>
              <w:t xml:space="preserve">starts_on</w:t>
            </w:r>
            <w:r>
              <w:rPr>
                <w:sz w:val="18"/>
                <w:szCs w:val="18"/>
              </w:rPr>
              <w:t xml:space="preserve">, </w:t>
            </w:r>
            <w:r>
              <w:rPr>
                <w:rFonts w:ascii="Courier New" w:cs="Courier New" w:eastAsia="Courier New" w:hAnsi="Courier New"/>
                <w:sz w:val="18"/>
                <w:szCs w:val="18"/>
              </w:rPr>
              <w:t xml:space="preserve">ends_on</w:t>
            </w:r>
            <w:r>
              <w:rPr>
                <w:sz w:val="18"/>
                <w:szCs w:val="18"/>
              </w:rPr>
              <w:t xml:space="preserve">, </w:t>
            </w:r>
            <w:r>
              <w:rPr>
                <w:rFonts w:ascii="Courier New" w:cs="Courier New" w:eastAsia="Courier New" w:hAnsi="Courier New"/>
                <w:sz w:val="18"/>
                <w:szCs w:val="18"/>
              </w:rPr>
              <w:t xml:space="preserve">curriculum_assessment_id</w:t>
            </w:r>
          </w:p>
        </w:tc>
        <w:tc>
          <w:tcPr>
            <w:tcW w:type="dxa" w:w="253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Só em plano Denver</w:t>
            </w:r>
          </w:p>
        </w:tc>
      </w:tr>
      <w:tr>
        <w:trPr>
          <w:cantSplit/>
        </w:trPr>
        <w:tc>
          <w:tcPr>
            <w:tcW w:type="dxa" w:w="202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denver_objectives</w:t>
            </w:r>
          </w:p>
        </w:tc>
        <w:tc>
          <w:tcPr>
            <w:tcW w:type="dxa" w:w="507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id</w:t>
            </w:r>
            <w:r>
              <w:rPr>
                <w:sz w:val="18"/>
                <w:szCs w:val="18"/>
              </w:rPr>
              <w:t xml:space="preserve">, </w:t>
            </w:r>
            <w:r>
              <w:rPr>
                <w:rFonts w:ascii="Courier New" w:cs="Courier New" w:eastAsia="Courier New" w:hAnsi="Courier New"/>
                <w:sz w:val="18"/>
                <w:szCs w:val="18"/>
              </w:rPr>
              <w:t xml:space="preserve">cycle_id</w:t>
            </w:r>
            <w:r>
              <w:rPr>
                <w:sz w:val="18"/>
                <w:szCs w:val="18"/>
              </w:rPr>
              <w:t xml:space="preserve">, </w:t>
            </w:r>
            <w:r>
              <w:rPr>
                <w:rFonts w:ascii="Courier New" w:cs="Courier New" w:eastAsia="Courier New" w:hAnsi="Courier New"/>
                <w:sz w:val="18"/>
                <w:szCs w:val="18"/>
              </w:rPr>
              <w:t xml:space="preserve">domain</w:t>
            </w:r>
            <w:r>
              <w:rPr>
                <w:sz w:val="18"/>
                <w:szCs w:val="18"/>
              </w:rPr>
              <w:t xml:space="preserve">, </w:t>
            </w:r>
            <w:r>
              <w:rPr>
                <w:rFonts w:ascii="Courier New" w:cs="Courier New" w:eastAsia="Courier New" w:hAnsi="Courier New"/>
                <w:sz w:val="18"/>
                <w:szCs w:val="18"/>
              </w:rPr>
              <w:t xml:space="preserve">level</w:t>
            </w:r>
            <w:r>
              <w:rPr>
                <w:sz w:val="18"/>
                <w:szCs w:val="18"/>
              </w:rPr>
              <w:t xml:space="preserve">, </w:t>
            </w:r>
            <w:r>
              <w:rPr>
                <w:rFonts w:ascii="Courier New" w:cs="Courier New" w:eastAsia="Courier New" w:hAnsi="Courier New"/>
                <w:sz w:val="18"/>
                <w:szCs w:val="18"/>
              </w:rPr>
              <w:t xml:space="preserve">description</w:t>
            </w:r>
            <w:r>
              <w:rPr>
                <w:sz w:val="18"/>
                <w:szCs w:val="18"/>
              </w:rPr>
              <w:t xml:space="preserve">, </w:t>
            </w:r>
            <w:r>
              <w:rPr>
                <w:rFonts w:ascii="Courier New" w:cs="Courier New" w:eastAsia="Courier New" w:hAnsi="Courier New"/>
                <w:sz w:val="18"/>
                <w:szCs w:val="18"/>
              </w:rPr>
              <w:t xml:space="preserve">mastery_rule</w:t>
            </w:r>
            <w:r>
              <w:rPr>
                <w:sz w:val="18"/>
                <w:szCs w:val="18"/>
              </w:rPr>
              <w:t xml:space="preserve">, </w:t>
            </w:r>
            <w:r>
              <w:rPr>
                <w:rFonts w:ascii="Courier New" w:cs="Courier New" w:eastAsia="Courier New" w:hAnsi="Courier New"/>
                <w:sz w:val="18"/>
                <w:szCs w:val="18"/>
              </w:rPr>
              <w:t xml:space="preserve">status</w:t>
            </w:r>
          </w:p>
        </w:tc>
        <w:tc>
          <w:tcPr>
            <w:tcW w:type="dxa" w:w="253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w:t>
            </w:r>
          </w:p>
        </w:tc>
      </w:tr>
      <w:tr>
        <w:trPr>
          <w:cantSplit/>
        </w:trPr>
        <w:tc>
          <w:tcPr>
            <w:tcW w:type="dxa" w:w="202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denver_steps</w:t>
            </w:r>
          </w:p>
        </w:tc>
        <w:tc>
          <w:tcPr>
            <w:tcW w:type="dxa" w:w="507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id</w:t>
            </w:r>
            <w:r>
              <w:rPr>
                <w:sz w:val="18"/>
                <w:szCs w:val="18"/>
              </w:rPr>
              <w:t xml:space="preserve">, </w:t>
            </w:r>
            <w:r>
              <w:rPr>
                <w:rFonts w:ascii="Courier New" w:cs="Courier New" w:eastAsia="Courier New" w:hAnsi="Courier New"/>
                <w:sz w:val="18"/>
                <w:szCs w:val="18"/>
              </w:rPr>
              <w:t xml:space="preserve">objective_id</w:t>
            </w:r>
            <w:r>
              <w:rPr>
                <w:sz w:val="18"/>
                <w:szCs w:val="18"/>
              </w:rPr>
              <w:t xml:space="preserve">, </w:t>
            </w:r>
            <w:r>
              <w:rPr>
                <w:rFonts w:ascii="Courier New" w:cs="Courier New" w:eastAsia="Courier New" w:hAnsi="Courier New"/>
                <w:sz w:val="18"/>
                <w:szCs w:val="18"/>
              </w:rPr>
              <w:t xml:space="preserve">order</w:t>
            </w:r>
            <w:r>
              <w:rPr>
                <w:sz w:val="18"/>
                <w:szCs w:val="18"/>
              </w:rPr>
              <w:t xml:space="preserve">, </w:t>
            </w:r>
            <w:r>
              <w:rPr>
                <w:rFonts w:ascii="Courier New" w:cs="Courier New" w:eastAsia="Courier New" w:hAnsi="Courier New"/>
                <w:sz w:val="18"/>
                <w:szCs w:val="18"/>
              </w:rPr>
              <w:t xml:space="preserve">description</w:t>
            </w:r>
            <w:r>
              <w:rPr>
                <w:sz w:val="18"/>
                <w:szCs w:val="18"/>
              </w:rPr>
              <w:t xml:space="preserve">, </w:t>
            </w:r>
            <w:r>
              <w:rPr>
                <w:rFonts w:ascii="Courier New" w:cs="Courier New" w:eastAsia="Courier New" w:hAnsi="Courier New"/>
                <w:sz w:val="18"/>
                <w:szCs w:val="18"/>
              </w:rPr>
              <w:t xml:space="preserve">status</w:t>
            </w:r>
            <w:r>
              <w:rPr>
                <w:sz w:val="18"/>
                <w:szCs w:val="18"/>
              </w:rPr>
              <w:t xml:space="preserve"> (não iniciado, em aquisição, dominado), </w:t>
            </w:r>
            <w:r>
              <w:rPr>
                <w:rFonts w:ascii="Courier New" w:cs="Courier New" w:eastAsia="Courier New" w:hAnsi="Courier New"/>
                <w:sz w:val="18"/>
                <w:szCs w:val="18"/>
              </w:rPr>
              <w:t xml:space="preserve">mastered_at</w:t>
            </w:r>
          </w:p>
        </w:tc>
        <w:tc>
          <w:tcPr>
            <w:tcW w:type="dxa" w:w="253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Ordem única por objetivo</w:t>
            </w:r>
          </w:p>
        </w:tc>
      </w:tr>
    </w:tbl>
    <w:p>
      <w:pPr>
        <w:spacing w:after="120"/>
      </w:pPr>
    </w:p>
    <w:p>
      <w:pPr>
        <w:pStyle w:val="Heading3"/>
        <w:keepNext/>
      </w:pPr>
      <w:r>
        <w:t xml:space="preserve">Bibliotecas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82"/>
        <w:gridCol w:w="5072"/>
        <w:gridCol w:w="2284"/>
      </w:tblGrid>
      <w:tr>
        <w:trPr>
          <w:tblHeader/>
        </w:trPr>
        <w:tc>
          <w:tcPr>
            <w:tcW w:type="dxa" w:w="2282"/>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Tabela</w:t>
            </w:r>
          </w:p>
        </w:tc>
        <w:tc>
          <w:tcPr>
            <w:tcW w:type="dxa" w:w="5072"/>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Campos-chave</w:t>
            </w:r>
          </w:p>
        </w:tc>
        <w:tc>
          <w:tcPr>
            <w:tcW w:type="dxa" w:w="2284"/>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Observação</w:t>
            </w:r>
          </w:p>
        </w:tc>
      </w:tr>
      <w:tr>
        <w:trPr>
          <w:cantSplit/>
        </w:trPr>
        <w:tc>
          <w:tcPr>
            <w:tcW w:type="dxa" w:w="228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prompt_hierarchies</w:t>
            </w:r>
            <w:r>
              <w:rPr>
                <w:sz w:val="18"/>
                <w:szCs w:val="18"/>
              </w:rPr>
              <w:t xml:space="preserve"> / </w:t>
            </w:r>
            <w:r>
              <w:rPr>
                <w:rFonts w:ascii="Courier New" w:cs="Courier New" w:eastAsia="Courier New" w:hAnsi="Courier New"/>
                <w:sz w:val="18"/>
                <w:szCs w:val="18"/>
              </w:rPr>
              <w:t xml:space="preserve">prompt_levels</w:t>
            </w:r>
          </w:p>
        </w:tc>
        <w:tc>
          <w:tcPr>
            <w:tcW w:type="dxa" w:w="507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Hierarquia com nome e tipo (do mais para o menos, do menos para o mais, atraso de tempo); níveis ordenados com código, rótulo, intrusividade (0 = independente) e cor de exibição</w:t>
            </w:r>
          </w:p>
        </w:tc>
        <w:tc>
          <w:tcPr>
            <w:tcW w:type="dxa" w:w="228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Padrões sugeridos: independente, gestual, modelo, física parcial, física total; e atraso de 0, 2, 4 segundos</w:t>
            </w:r>
          </w:p>
        </w:tc>
      </w:tr>
      <w:tr>
        <w:trPr>
          <w:cantSplit/>
        </w:trPr>
        <w:tc>
          <w:tcPr>
            <w:tcW w:type="dxa" w:w="228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mastery_criteria</w:t>
            </w:r>
          </w:p>
        </w:tc>
        <w:tc>
          <w:tcPr>
            <w:tcW w:type="dxa" w:w="507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min_independent_pct</w:t>
            </w:r>
            <w:r>
              <w:rPr>
                <w:sz w:val="18"/>
                <w:szCs w:val="18"/>
              </w:rPr>
              <w:t xml:space="preserve">, </w:t>
            </w:r>
            <w:r>
              <w:rPr>
                <w:rFonts w:ascii="Courier New" w:cs="Courier New" w:eastAsia="Courier New" w:hAnsi="Courier New"/>
                <w:sz w:val="18"/>
                <w:szCs w:val="18"/>
              </w:rPr>
              <w:t xml:space="preserve">sessions_required</w:t>
            </w:r>
            <w:r>
              <w:rPr>
                <w:sz w:val="18"/>
                <w:szCs w:val="18"/>
              </w:rPr>
              <w:t xml:space="preserve">, </w:t>
            </w:r>
            <w:r>
              <w:rPr>
                <w:rFonts w:ascii="Courier New" w:cs="Courier New" w:eastAsia="Courier New" w:hAnsi="Courier New"/>
                <w:sz w:val="18"/>
                <w:szCs w:val="18"/>
              </w:rPr>
              <w:t xml:space="preserve">consecutive</w:t>
            </w:r>
            <w:r>
              <w:rPr>
                <w:sz w:val="18"/>
                <w:szCs w:val="18"/>
              </w:rPr>
              <w:t xml:space="preserve"> (sim/não), </w:t>
            </w:r>
            <w:r>
              <w:rPr>
                <w:rFonts w:ascii="Courier New" w:cs="Courier New" w:eastAsia="Courier New" w:hAnsi="Courier New"/>
                <w:sz w:val="18"/>
                <w:szCs w:val="18"/>
              </w:rPr>
              <w:t xml:space="preserve">min_opportunities_per_session</w:t>
            </w:r>
            <w:r>
              <w:rPr>
                <w:sz w:val="18"/>
                <w:szCs w:val="18"/>
              </w:rPr>
              <w:t xml:space="preserve">, </w:t>
            </w:r>
            <w:r>
              <w:rPr>
                <w:rFonts w:ascii="Courier New" w:cs="Courier New" w:eastAsia="Courier New" w:hAnsi="Courier New"/>
                <w:sz w:val="18"/>
                <w:szCs w:val="18"/>
              </w:rPr>
              <w:t xml:space="preserve">min_implementers</w:t>
            </w:r>
            <w:r>
              <w:rPr>
                <w:sz w:val="18"/>
                <w:szCs w:val="18"/>
              </w:rPr>
              <w:t xml:space="preserve">, </w:t>
            </w:r>
            <w:r>
              <w:rPr>
                <w:rFonts w:ascii="Courier New" w:cs="Courier New" w:eastAsia="Courier New" w:hAnsi="Courier New"/>
                <w:sz w:val="18"/>
                <w:szCs w:val="18"/>
              </w:rPr>
              <w:t xml:space="preserve">min_settings</w:t>
            </w:r>
            <w:r>
              <w:rPr>
                <w:sz w:val="18"/>
                <w:szCs w:val="18"/>
              </w:rPr>
              <w:t xml:space="preserve">, </w:t>
            </w:r>
            <w:r>
              <w:rPr>
                <w:rFonts w:ascii="Courier New" w:cs="Courier New" w:eastAsia="Courier New" w:hAnsi="Courier New"/>
                <w:sz w:val="18"/>
                <w:szCs w:val="18"/>
              </w:rPr>
              <w:t xml:space="preserve">maintenance_probe_weeks</w:t>
            </w:r>
            <w:r>
              <w:rPr>
                <w:sz w:val="18"/>
                <w:szCs w:val="18"/>
              </w:rPr>
              <w:t xml:space="preserve"> (lista), </w:t>
            </w:r>
            <w:r>
              <w:rPr>
                <w:rFonts w:ascii="Courier New" w:cs="Courier New" w:eastAsia="Courier New" w:hAnsi="Courier New"/>
                <w:sz w:val="18"/>
                <w:szCs w:val="18"/>
              </w:rPr>
              <w:t xml:space="preserve">maintenance_min_pct</w:t>
            </w:r>
          </w:p>
        </w:tc>
        <w:tc>
          <w:tcPr>
            <w:tcW w:type="dxa" w:w="2284"/>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Padrão sugerido: 90%, 2 sessões consecutivas, mínimo 10 oportunidades, sondas em 1, 2 e 4 semanas com 80%</w:t>
            </w:r>
          </w:p>
        </w:tc>
      </w:tr>
      <w:tr>
        <w:trPr>
          <w:cantSplit/>
        </w:trPr>
        <w:tc>
          <w:tcPr>
            <w:tcW w:type="dxa" w:w="228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stimulus_sets</w:t>
            </w:r>
            <w:r>
              <w:rPr>
                <w:sz w:val="18"/>
                <w:szCs w:val="18"/>
              </w:rPr>
              <w:t xml:space="preserve"> / </w:t>
            </w:r>
            <w:r>
              <w:rPr>
                <w:rFonts w:ascii="Courier New" w:cs="Courier New" w:eastAsia="Courier New" w:hAnsi="Courier New"/>
                <w:sz w:val="18"/>
                <w:szCs w:val="18"/>
              </w:rPr>
              <w:t xml:space="preserve">stimuli</w:t>
            </w:r>
          </w:p>
        </w:tc>
        <w:tc>
          <w:tcPr>
            <w:tcW w:type="dxa" w:w="507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Conjunto com nome e tipo; estímulo com rótulo, mídia (foto, ilustração, áudio, vídeo), fonte, licença, </w:t>
            </w:r>
            <w:r>
              <w:rPr>
                <w:rFonts w:ascii="Courier New" w:cs="Courier New" w:eastAsia="Courier New" w:hAnsi="Courier New"/>
                <w:sz w:val="18"/>
                <w:szCs w:val="18"/>
              </w:rPr>
              <w:t xml:space="preserve">is_child_specific</w:t>
            </w:r>
            <w:r>
              <w:rPr>
                <w:sz w:val="18"/>
                <w:szCs w:val="18"/>
              </w:rPr>
              <w:t xml:space="preserve"> (foto do objeto da casa da criança), </w:t>
            </w:r>
            <w:r>
              <w:rPr>
                <w:rFonts w:ascii="Courier New" w:cs="Courier New" w:eastAsia="Courier New" w:hAnsi="Courier New"/>
                <w:sz w:val="18"/>
                <w:szCs w:val="18"/>
              </w:rPr>
              <w:t xml:space="preserve">consent_id</w:t>
            </w:r>
            <w:r>
              <w:rPr>
                <w:sz w:val="18"/>
                <w:szCs w:val="18"/>
              </w:rPr>
              <w:t xml:space="preserve"> quando houver imagem de pessoa</w:t>
            </w:r>
          </w:p>
        </w:tc>
        <w:tc>
          <w:tcPr>
            <w:tcW w:type="dxa" w:w="228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Estímulos de jogos e de mesa usam a mesma tabela, o que permite comparar desempenho entre canais</w:t>
            </w:r>
          </w:p>
        </w:tc>
      </w:tr>
      <w:tr>
        <w:trPr>
          <w:cantSplit/>
        </w:trPr>
        <w:tc>
          <w:tcPr>
            <w:tcW w:type="dxa" w:w="228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behavior_definitions</w:t>
            </w:r>
          </w:p>
        </w:tc>
        <w:tc>
          <w:tcPr>
            <w:tcW w:type="dxa" w:w="507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Nome, definição topográfica, exemplos, não exemplos, início, término, medida (frequência, duração, latência, intervalo), parâmetros da medida, função hipotética, aprovado por</w:t>
            </w:r>
          </w:p>
        </w:tc>
        <w:tc>
          <w:tcPr>
            <w:tcW w:type="dxa" w:w="2284"/>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Imutável após uso; alteração cria nova versão</w:t>
            </w:r>
          </w:p>
        </w:tc>
      </w:tr>
    </w:tbl>
    <w:p>
      <w:pPr>
        <w:spacing w:after="120"/>
      </w:pPr>
    </w:p>
    <w:p>
      <w:pPr>
        <w:pStyle w:val="Heading3"/>
        <w:keepNext/>
      </w:pPr>
      <w:r>
        <w:t xml:space="preserve">Registros de sessão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82"/>
        <w:gridCol w:w="5072"/>
        <w:gridCol w:w="2284"/>
      </w:tblGrid>
      <w:tr>
        <w:trPr>
          <w:tblHeader/>
        </w:trPr>
        <w:tc>
          <w:tcPr>
            <w:tcW w:type="dxa" w:w="2282"/>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Tabela</w:t>
            </w:r>
          </w:p>
        </w:tc>
        <w:tc>
          <w:tcPr>
            <w:tcW w:type="dxa" w:w="5072"/>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Campos-chave</w:t>
            </w:r>
          </w:p>
        </w:tc>
        <w:tc>
          <w:tcPr>
            <w:tcW w:type="dxa" w:w="2284"/>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Observação</w:t>
            </w:r>
          </w:p>
        </w:tc>
      </w:tr>
      <w:tr>
        <w:trPr>
          <w:cantSplit/>
        </w:trPr>
        <w:tc>
          <w:tcPr>
            <w:tcW w:type="dxa" w:w="228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sessions</w:t>
            </w:r>
          </w:p>
        </w:tc>
        <w:tc>
          <w:tcPr>
            <w:tcW w:type="dxa" w:w="507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id</w:t>
            </w:r>
            <w:r>
              <w:rPr>
                <w:sz w:val="18"/>
                <w:szCs w:val="18"/>
              </w:rPr>
              <w:t xml:space="preserve">, </w:t>
            </w:r>
            <w:r>
              <w:rPr>
                <w:rFonts w:ascii="Courier New" w:cs="Courier New" w:eastAsia="Courier New" w:hAnsi="Courier New"/>
                <w:sz w:val="18"/>
                <w:szCs w:val="18"/>
              </w:rPr>
              <w:t xml:space="preserve">case_id</w:t>
            </w:r>
            <w:r>
              <w:rPr>
                <w:sz w:val="18"/>
                <w:szCs w:val="18"/>
              </w:rPr>
              <w:t xml:space="preserve">, </w:t>
            </w:r>
            <w:r>
              <w:rPr>
                <w:rFonts w:ascii="Courier New" w:cs="Courier New" w:eastAsia="Courier New" w:hAnsi="Courier New"/>
                <w:sz w:val="18"/>
                <w:szCs w:val="18"/>
              </w:rPr>
              <w:t xml:space="preserve">plan_id</w:t>
            </w:r>
            <w:r>
              <w:rPr>
                <w:sz w:val="18"/>
                <w:szCs w:val="18"/>
              </w:rPr>
              <w:t xml:space="preserve">, </w:t>
            </w:r>
            <w:r>
              <w:rPr>
                <w:rFonts w:ascii="Courier New" w:cs="Courier New" w:eastAsia="Courier New" w:hAnsi="Courier New"/>
                <w:sz w:val="18"/>
                <w:szCs w:val="18"/>
              </w:rPr>
              <w:t xml:space="preserve">model</w:t>
            </w:r>
            <w:r>
              <w:rPr>
                <w:sz w:val="18"/>
                <w:szCs w:val="18"/>
              </w:rPr>
              <w:t xml:space="preserve"> (copiado do plano), </w:t>
            </w:r>
            <w:r>
              <w:rPr>
                <w:rFonts w:ascii="Courier New" w:cs="Courier New" w:eastAsia="Courier New" w:hAnsi="Courier New"/>
                <w:sz w:val="18"/>
                <w:szCs w:val="18"/>
              </w:rPr>
              <w:t xml:space="preserve">setting</w:t>
            </w:r>
            <w:r>
              <w:rPr>
                <w:sz w:val="18"/>
                <w:szCs w:val="18"/>
              </w:rPr>
              <w:t xml:space="preserve"> (clínica, casa, escola, comunidade, teleatendimento), </w:t>
            </w:r>
            <w:r>
              <w:rPr>
                <w:rFonts w:ascii="Courier New" w:cs="Courier New" w:eastAsia="Courier New" w:hAnsi="Courier New"/>
                <w:sz w:val="18"/>
                <w:szCs w:val="18"/>
              </w:rPr>
              <w:t xml:space="preserve">implementer_id</w:t>
            </w:r>
            <w:r>
              <w:rPr>
                <w:sz w:val="18"/>
                <w:szCs w:val="18"/>
              </w:rPr>
              <w:t xml:space="preserve">, </w:t>
            </w:r>
            <w:r>
              <w:rPr>
                <w:rFonts w:ascii="Courier New" w:cs="Courier New" w:eastAsia="Courier New" w:hAnsi="Courier New"/>
                <w:sz w:val="18"/>
                <w:szCs w:val="18"/>
              </w:rPr>
              <w:t xml:space="preserve">supervisor_present</w:t>
            </w:r>
            <w:r>
              <w:rPr>
                <w:sz w:val="18"/>
                <w:szCs w:val="18"/>
              </w:rPr>
              <w:t xml:space="preserve">, </w:t>
            </w:r>
            <w:r>
              <w:rPr>
                <w:rFonts w:ascii="Courier New" w:cs="Courier New" w:eastAsia="Courier New" w:hAnsi="Courier New"/>
                <w:sz w:val="18"/>
                <w:szCs w:val="18"/>
              </w:rPr>
              <w:t xml:space="preserve">started_at</w:t>
            </w:r>
            <w:r>
              <w:rPr>
                <w:sz w:val="18"/>
                <w:szCs w:val="18"/>
              </w:rPr>
              <w:t xml:space="preserve">, </w:t>
            </w:r>
            <w:r>
              <w:rPr>
                <w:rFonts w:ascii="Courier New" w:cs="Courier New" w:eastAsia="Courier New" w:hAnsi="Courier New"/>
                <w:sz w:val="18"/>
                <w:szCs w:val="18"/>
              </w:rPr>
              <w:t xml:space="preserve">ended_at</w:t>
            </w:r>
            <w:r>
              <w:rPr>
                <w:sz w:val="18"/>
                <w:szCs w:val="18"/>
              </w:rPr>
              <w:t xml:space="preserve">, </w:t>
            </w:r>
            <w:r>
              <w:rPr>
                <w:rFonts w:ascii="Courier New" w:cs="Courier New" w:eastAsia="Courier New" w:hAnsi="Courier New"/>
                <w:sz w:val="18"/>
                <w:szCs w:val="18"/>
              </w:rPr>
              <w:t xml:space="preserve">screen_minutes</w:t>
            </w:r>
          </w:p>
        </w:tc>
        <w:tc>
          <w:tcPr>
            <w:tcW w:type="dxa" w:w="228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model</w:t>
            </w:r>
            <w:r>
              <w:rPr>
                <w:sz w:val="18"/>
                <w:szCs w:val="18"/>
              </w:rPr>
              <w:t xml:space="preserve"> deve ser igual ao do plano vigente (gatilho)</w:t>
            </w:r>
          </w:p>
        </w:tc>
      </w:tr>
      <w:tr>
        <w:trPr>
          <w:cantSplit/>
        </w:trPr>
        <w:tc>
          <w:tcPr>
            <w:tcW w:type="dxa" w:w="228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trial_records</w:t>
            </w:r>
          </w:p>
        </w:tc>
        <w:tc>
          <w:tcPr>
            <w:tcW w:type="dxa" w:w="507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id</w:t>
            </w:r>
            <w:r>
              <w:rPr>
                <w:sz w:val="18"/>
                <w:szCs w:val="18"/>
              </w:rPr>
              <w:t xml:space="preserve">, </w:t>
            </w:r>
            <w:r>
              <w:rPr>
                <w:rFonts w:ascii="Courier New" w:cs="Courier New" w:eastAsia="Courier New" w:hAnsi="Courier New"/>
                <w:sz w:val="18"/>
                <w:szCs w:val="18"/>
              </w:rPr>
              <w:t xml:space="preserve">session_id</w:t>
            </w:r>
            <w:r>
              <w:rPr>
                <w:sz w:val="18"/>
                <w:szCs w:val="18"/>
              </w:rPr>
              <w:t xml:space="preserve">, </w:t>
            </w:r>
            <w:r>
              <w:rPr>
                <w:rFonts w:ascii="Courier New" w:cs="Courier New" w:eastAsia="Courier New" w:hAnsi="Courier New"/>
                <w:sz w:val="18"/>
                <w:szCs w:val="18"/>
              </w:rPr>
              <w:t xml:space="preserve">block_id</w:t>
            </w:r>
            <w:r>
              <w:rPr>
                <w:sz w:val="18"/>
                <w:szCs w:val="18"/>
              </w:rPr>
              <w:t xml:space="preserve">, </w:t>
            </w:r>
            <w:r>
              <w:rPr>
                <w:rFonts w:ascii="Courier New" w:cs="Courier New" w:eastAsia="Courier New" w:hAnsi="Courier New"/>
                <w:sz w:val="18"/>
                <w:szCs w:val="18"/>
              </w:rPr>
              <w:t xml:space="preserve">target_id</w:t>
            </w:r>
            <w:r>
              <w:rPr>
                <w:sz w:val="18"/>
                <w:szCs w:val="18"/>
              </w:rPr>
              <w:t xml:space="preserve">, </w:t>
            </w:r>
            <w:r>
              <w:rPr>
                <w:rFonts w:ascii="Courier New" w:cs="Courier New" w:eastAsia="Courier New" w:hAnsi="Courier New"/>
                <w:sz w:val="18"/>
                <w:szCs w:val="18"/>
              </w:rPr>
              <w:t xml:space="preserve">phase</w:t>
            </w:r>
            <w:r>
              <w:rPr>
                <w:sz w:val="18"/>
                <w:szCs w:val="18"/>
              </w:rPr>
              <w:t xml:space="preserve">, </w:t>
            </w:r>
            <w:r>
              <w:rPr>
                <w:rFonts w:ascii="Courier New" w:cs="Courier New" w:eastAsia="Courier New" w:hAnsi="Courier New"/>
                <w:sz w:val="18"/>
                <w:szCs w:val="18"/>
              </w:rPr>
              <w:t xml:space="preserve">stimulus_id</w:t>
            </w:r>
            <w:r>
              <w:rPr>
                <w:sz w:val="18"/>
                <w:szCs w:val="18"/>
              </w:rPr>
              <w:t xml:space="preserve">, </w:t>
            </w:r>
            <w:r>
              <w:rPr>
                <w:rFonts w:ascii="Courier New" w:cs="Courier New" w:eastAsia="Courier New" w:hAnsi="Courier New"/>
                <w:sz w:val="18"/>
                <w:szCs w:val="18"/>
              </w:rPr>
              <w:t xml:space="preserve">trial_index</w:t>
            </w:r>
            <w:r>
              <w:rPr>
                <w:sz w:val="18"/>
                <w:szCs w:val="18"/>
              </w:rPr>
              <w:t xml:space="preserve">, </w:t>
            </w:r>
            <w:r>
              <w:rPr>
                <w:rFonts w:ascii="Courier New" w:cs="Courier New" w:eastAsia="Courier New" w:hAnsi="Courier New"/>
                <w:sz w:val="18"/>
                <w:szCs w:val="18"/>
              </w:rPr>
              <w:t xml:space="preserve">response</w:t>
            </w:r>
            <w:r>
              <w:rPr>
                <w:sz w:val="18"/>
                <w:szCs w:val="18"/>
              </w:rPr>
              <w:t xml:space="preserve"> (correta, incorreta, sem resposta), </w:t>
            </w:r>
            <w:r>
              <w:rPr>
                <w:rFonts w:ascii="Courier New" w:cs="Courier New" w:eastAsia="Courier New" w:hAnsi="Courier New"/>
                <w:sz w:val="18"/>
                <w:szCs w:val="18"/>
              </w:rPr>
              <w:t xml:space="preserve">prompt_level_id</w:t>
            </w:r>
            <w:r>
              <w:rPr>
                <w:sz w:val="18"/>
                <w:szCs w:val="18"/>
              </w:rPr>
              <w:t xml:space="preserve">, </w:t>
            </w:r>
            <w:r>
              <w:rPr>
                <w:rFonts w:ascii="Courier New" w:cs="Courier New" w:eastAsia="Courier New" w:hAnsi="Courier New"/>
                <w:sz w:val="18"/>
                <w:szCs w:val="18"/>
              </w:rPr>
              <w:t xml:space="preserve">latency_ms</w:t>
            </w:r>
            <w:r>
              <w:rPr>
                <w:sz w:val="18"/>
                <w:szCs w:val="18"/>
              </w:rPr>
              <w:t xml:space="preserve">, </w:t>
            </w:r>
            <w:r>
              <w:rPr>
                <w:rFonts w:ascii="Courier New" w:cs="Courier New" w:eastAsia="Courier New" w:hAnsi="Courier New"/>
                <w:sz w:val="18"/>
                <w:szCs w:val="18"/>
              </w:rPr>
              <w:t xml:space="preserve">channel</w:t>
            </w:r>
            <w:r>
              <w:rPr>
                <w:sz w:val="18"/>
                <w:szCs w:val="18"/>
              </w:rPr>
              <w:t xml:space="preserve"> (mesa, digital, natural), </w:t>
            </w:r>
            <w:r>
              <w:rPr>
                <w:rFonts w:ascii="Courier New" w:cs="Courier New" w:eastAsia="Courier New" w:hAnsi="Courier New"/>
                <w:sz w:val="18"/>
                <w:szCs w:val="18"/>
              </w:rPr>
              <w:t xml:space="preserve">activity_run_id</w:t>
            </w:r>
            <w:r>
              <w:rPr>
                <w:sz w:val="18"/>
                <w:szCs w:val="18"/>
              </w:rPr>
              <w:t xml:space="preserve"> (quando digital), </w:t>
            </w:r>
            <w:r>
              <w:rPr>
                <w:rFonts w:ascii="Courier New" w:cs="Courier New" w:eastAsia="Courier New" w:hAnsi="Courier New"/>
                <w:sz w:val="18"/>
                <w:szCs w:val="18"/>
              </w:rPr>
              <w:t xml:space="preserve">client_event_id</w:t>
            </w:r>
            <w:r>
              <w:rPr>
                <w:sz w:val="18"/>
                <w:szCs w:val="18"/>
              </w:rPr>
              <w:t xml:space="preserve">, </w:t>
            </w:r>
            <w:r>
              <w:rPr>
                <w:rFonts w:ascii="Courier New" w:cs="Courier New" w:eastAsia="Courier New" w:hAnsi="Courier New"/>
                <w:sz w:val="18"/>
                <w:szCs w:val="18"/>
              </w:rPr>
              <w:t xml:space="preserve">recorded_at</w:t>
            </w:r>
            <w:r>
              <w:rPr>
                <w:sz w:val="18"/>
                <w:szCs w:val="18"/>
              </w:rPr>
              <w:t xml:space="preserve">, </w:t>
            </w:r>
            <w:r>
              <w:rPr>
                <w:rFonts w:ascii="Courier New" w:cs="Courier New" w:eastAsia="Courier New" w:hAnsi="Courier New"/>
                <w:sz w:val="18"/>
                <w:szCs w:val="18"/>
              </w:rPr>
              <w:t xml:space="preserve">recorded_by</w:t>
            </w:r>
          </w:p>
        </w:tc>
        <w:tc>
          <w:tcPr>
            <w:tcW w:type="dxa" w:w="2284"/>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Rejeitado se a sessão for Denver; </w:t>
            </w:r>
            <w:r>
              <w:rPr>
                <w:rFonts w:ascii="Courier New" w:cs="Courier New" w:eastAsia="Courier New" w:hAnsi="Courier New"/>
                <w:sz w:val="18"/>
                <w:szCs w:val="18"/>
              </w:rPr>
              <w:t xml:space="preserve">client_event_id</w:t>
            </w:r>
            <w:r>
              <w:rPr>
                <w:sz w:val="18"/>
                <w:szCs w:val="18"/>
              </w:rPr>
              <w:t xml:space="preserve"> único por sessão para idempotência</w:t>
            </w:r>
          </w:p>
        </w:tc>
      </w:tr>
      <w:tr>
        <w:trPr>
          <w:cantSplit/>
        </w:trPr>
        <w:tc>
          <w:tcPr>
            <w:tcW w:type="dxa" w:w="228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opportunity_records</w:t>
            </w:r>
          </w:p>
        </w:tc>
        <w:tc>
          <w:tcPr>
            <w:tcW w:type="dxa" w:w="507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Igual ao anterior, com </w:t>
            </w:r>
            <w:r>
              <w:rPr>
                <w:rFonts w:ascii="Courier New" w:cs="Courier New" w:eastAsia="Courier New" w:hAnsi="Courier New"/>
                <w:sz w:val="18"/>
                <w:szCs w:val="18"/>
              </w:rPr>
              <w:t xml:space="preserve">initiated_by</w:t>
            </w:r>
            <w:r>
              <w:rPr>
                <w:sz w:val="18"/>
                <w:szCs w:val="18"/>
              </w:rPr>
              <w:t xml:space="preserve"> (criança, adulto) e </w:t>
            </w:r>
            <w:r>
              <w:rPr>
                <w:rFonts w:ascii="Courier New" w:cs="Courier New" w:eastAsia="Courier New" w:hAnsi="Courier New"/>
                <w:sz w:val="18"/>
                <w:szCs w:val="18"/>
              </w:rPr>
              <w:t xml:space="preserve">context</w:t>
            </w:r>
            <w:r>
              <w:rPr>
                <w:sz w:val="18"/>
                <w:szCs w:val="18"/>
              </w:rPr>
              <w:t xml:space="preserve"> livre</w:t>
            </w:r>
          </w:p>
        </w:tc>
        <w:tc>
          <w:tcPr>
            <w:tcW w:type="dxa" w:w="228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NET e ensino incidental</w:t>
            </w:r>
          </w:p>
        </w:tc>
      </w:tr>
      <w:tr>
        <w:trPr>
          <w:cantSplit/>
        </w:trPr>
        <w:tc>
          <w:tcPr>
            <w:tcW w:type="dxa" w:w="228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chain_step_records</w:t>
            </w:r>
          </w:p>
        </w:tc>
        <w:tc>
          <w:tcPr>
            <w:tcW w:type="dxa" w:w="507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target_id</w:t>
            </w:r>
            <w:r>
              <w:rPr>
                <w:sz w:val="18"/>
                <w:szCs w:val="18"/>
              </w:rPr>
              <w:t xml:space="preserve">, </w:t>
            </w:r>
            <w:r>
              <w:rPr>
                <w:rFonts w:ascii="Courier New" w:cs="Courier New" w:eastAsia="Courier New" w:hAnsi="Courier New"/>
                <w:sz w:val="18"/>
                <w:szCs w:val="18"/>
              </w:rPr>
              <w:t xml:space="preserve">step_order</w:t>
            </w:r>
            <w:r>
              <w:rPr>
                <w:sz w:val="18"/>
                <w:szCs w:val="18"/>
              </w:rPr>
              <w:t xml:space="preserve">, </w:t>
            </w:r>
            <w:r>
              <w:rPr>
                <w:rFonts w:ascii="Courier New" w:cs="Courier New" w:eastAsia="Courier New" w:hAnsi="Courier New"/>
                <w:sz w:val="18"/>
                <w:szCs w:val="18"/>
              </w:rPr>
              <w:t xml:space="preserve">prompt_level_id</w:t>
            </w:r>
            <w:r>
              <w:rPr>
                <w:sz w:val="18"/>
                <w:szCs w:val="18"/>
              </w:rPr>
              <w:t xml:space="preserve">, </w:t>
            </w:r>
            <w:r>
              <w:rPr>
                <w:rFonts w:ascii="Courier New" w:cs="Courier New" w:eastAsia="Courier New" w:hAnsi="Courier New"/>
                <w:sz w:val="18"/>
                <w:szCs w:val="18"/>
              </w:rPr>
              <w:t xml:space="preserve">attempt</w:t>
            </w:r>
          </w:p>
        </w:tc>
        <w:tc>
          <w:tcPr>
            <w:tcW w:type="dxa" w:w="2284"/>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Encadeamento e AVD</w:t>
            </w:r>
          </w:p>
        </w:tc>
      </w:tr>
      <w:tr>
        <w:trPr>
          <w:cantSplit/>
        </w:trPr>
        <w:tc>
          <w:tcPr>
            <w:tcW w:type="dxa" w:w="228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denver_routine_records</w:t>
            </w:r>
          </w:p>
        </w:tc>
        <w:tc>
          <w:tcPr>
            <w:tcW w:type="dxa" w:w="507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id</w:t>
            </w:r>
            <w:r>
              <w:rPr>
                <w:sz w:val="18"/>
                <w:szCs w:val="18"/>
              </w:rPr>
              <w:t xml:space="preserve">, </w:t>
            </w:r>
            <w:r>
              <w:rPr>
                <w:rFonts w:ascii="Courier New" w:cs="Courier New" w:eastAsia="Courier New" w:hAnsi="Courier New"/>
                <w:sz w:val="18"/>
                <w:szCs w:val="18"/>
              </w:rPr>
              <w:t xml:space="preserve">session_id</w:t>
            </w:r>
            <w:r>
              <w:rPr>
                <w:sz w:val="18"/>
                <w:szCs w:val="18"/>
              </w:rPr>
              <w:t xml:space="preserve">, </w:t>
            </w:r>
            <w:r>
              <w:rPr>
                <w:rFonts w:ascii="Courier New" w:cs="Courier New" w:eastAsia="Courier New" w:hAnsi="Courier New"/>
                <w:sz w:val="18"/>
                <w:szCs w:val="18"/>
              </w:rPr>
              <w:t xml:space="preserve">routine_type</w:t>
            </w:r>
            <w:r>
              <w:rPr>
                <w:sz w:val="18"/>
                <w:szCs w:val="18"/>
              </w:rPr>
              <w:t xml:space="preserve"> (sensório-social, objeto, lanche, livro, motor, cuidado pessoal), </w:t>
            </w:r>
            <w:r>
              <w:rPr>
                <w:rFonts w:ascii="Courier New" w:cs="Courier New" w:eastAsia="Courier New" w:hAnsi="Courier New"/>
                <w:sz w:val="18"/>
                <w:szCs w:val="18"/>
              </w:rPr>
              <w:t xml:space="preserve">theme</w:t>
            </w:r>
            <w:r>
              <w:rPr>
                <w:sz w:val="18"/>
                <w:szCs w:val="18"/>
              </w:rPr>
              <w:t xml:space="preserve">, </w:t>
            </w:r>
            <w:r>
              <w:rPr>
                <w:rFonts w:ascii="Courier New" w:cs="Courier New" w:eastAsia="Courier New" w:hAnsi="Courier New"/>
                <w:sz w:val="18"/>
                <w:szCs w:val="18"/>
              </w:rPr>
              <w:t xml:space="preserve">started_at</w:t>
            </w:r>
            <w:r>
              <w:rPr>
                <w:sz w:val="18"/>
                <w:szCs w:val="18"/>
              </w:rPr>
              <w:t xml:space="preserve">, </w:t>
            </w:r>
            <w:r>
              <w:rPr>
                <w:rFonts w:ascii="Courier New" w:cs="Courier New" w:eastAsia="Courier New" w:hAnsi="Courier New"/>
                <w:sz w:val="18"/>
                <w:szCs w:val="18"/>
              </w:rPr>
              <w:t xml:space="preserve">ended_at</w:t>
            </w:r>
            <w:r>
              <w:rPr>
                <w:sz w:val="18"/>
                <w:szCs w:val="18"/>
              </w:rPr>
              <w:t xml:space="preserve">, </w:t>
            </w:r>
            <w:r>
              <w:rPr>
                <w:rFonts w:ascii="Courier New" w:cs="Courier New" w:eastAsia="Courier New" w:hAnsi="Courier New"/>
                <w:sz w:val="18"/>
                <w:szCs w:val="18"/>
              </w:rPr>
              <w:t xml:space="preserve">initiated_by</w:t>
            </w:r>
            <w:r>
              <w:rPr>
                <w:sz w:val="18"/>
                <w:szCs w:val="18"/>
              </w:rPr>
              <w:t xml:space="preserve">, </w:t>
            </w:r>
            <w:r>
              <w:rPr>
                <w:rFonts w:ascii="Courier New" w:cs="Courier New" w:eastAsia="Courier New" w:hAnsi="Courier New"/>
                <w:sz w:val="18"/>
                <w:szCs w:val="18"/>
              </w:rPr>
              <w:t xml:space="preserve">phases_observed</w:t>
            </w:r>
            <w:r>
              <w:rPr>
                <w:sz w:val="18"/>
                <w:szCs w:val="18"/>
              </w:rPr>
              <w:t xml:space="preserve"> (abertura, elaboração, variação, fechamento)</w:t>
            </w:r>
          </w:p>
        </w:tc>
        <w:tc>
          <w:tcPr>
            <w:tcW w:type="dxa" w:w="228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Rejeitado se a sessão for ABA</w:t>
            </w:r>
          </w:p>
        </w:tc>
      </w:tr>
      <w:tr>
        <w:trPr>
          <w:cantSplit/>
        </w:trPr>
        <w:tc>
          <w:tcPr>
            <w:tcW w:type="dxa" w:w="228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denver_step_scores</w:t>
            </w:r>
          </w:p>
        </w:tc>
        <w:tc>
          <w:tcPr>
            <w:tcW w:type="dxa" w:w="507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session_id</w:t>
            </w:r>
            <w:r>
              <w:rPr>
                <w:sz w:val="18"/>
                <w:szCs w:val="18"/>
              </w:rPr>
              <w:t xml:space="preserve">, </w:t>
            </w:r>
            <w:r>
              <w:rPr>
                <w:rFonts w:ascii="Courier New" w:cs="Courier New" w:eastAsia="Courier New" w:hAnsi="Courier New"/>
                <w:sz w:val="18"/>
                <w:szCs w:val="18"/>
              </w:rPr>
              <w:t xml:space="preserve">routine_record_id</w:t>
            </w:r>
            <w:r>
              <w:rPr>
                <w:sz w:val="18"/>
                <w:szCs w:val="18"/>
              </w:rPr>
              <w:t xml:space="preserve">, </w:t>
            </w:r>
            <w:r>
              <w:rPr>
                <w:rFonts w:ascii="Courier New" w:cs="Courier New" w:eastAsia="Courier New" w:hAnsi="Courier New"/>
                <w:sz w:val="18"/>
                <w:szCs w:val="18"/>
              </w:rPr>
              <w:t xml:space="preserve">step_id</w:t>
            </w:r>
            <w:r>
              <w:rPr>
                <w:sz w:val="18"/>
                <w:szCs w:val="18"/>
              </w:rPr>
              <w:t xml:space="preserve">, </w:t>
            </w:r>
            <w:r>
              <w:rPr>
                <w:rFonts w:ascii="Courier New" w:cs="Courier New" w:eastAsia="Courier New" w:hAnsi="Courier New"/>
                <w:sz w:val="18"/>
                <w:szCs w:val="18"/>
              </w:rPr>
              <w:t xml:space="preserve">interval_index</w:t>
            </w:r>
            <w:r>
              <w:rPr>
                <w:sz w:val="18"/>
                <w:szCs w:val="18"/>
              </w:rPr>
              <w:t xml:space="preserve">, </w:t>
            </w:r>
            <w:r>
              <w:rPr>
                <w:rFonts w:ascii="Courier New" w:cs="Courier New" w:eastAsia="Courier New" w:hAnsi="Courier New"/>
                <w:sz w:val="18"/>
                <w:szCs w:val="18"/>
              </w:rPr>
              <w:t xml:space="preserve">score</w:t>
            </w:r>
            <w:r>
              <w:rPr>
                <w:sz w:val="18"/>
                <w:szCs w:val="18"/>
              </w:rPr>
              <w:t xml:space="preserve"> (sim, não, parcial; ou escala configurada), </w:t>
            </w:r>
            <w:r>
              <w:rPr>
                <w:rFonts w:ascii="Courier New" w:cs="Courier New" w:eastAsia="Courier New" w:hAnsi="Courier New"/>
                <w:sz w:val="18"/>
                <w:szCs w:val="18"/>
              </w:rPr>
              <w:t xml:space="preserve">prompt_note</w:t>
            </w:r>
          </w:p>
        </w:tc>
        <w:tc>
          <w:tcPr>
            <w:tcW w:type="dxa" w:w="2284"/>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Amostragem por intervalo (padrão de 15 minutos)</w:t>
            </w:r>
          </w:p>
        </w:tc>
      </w:tr>
      <w:tr>
        <w:trPr>
          <w:cantSplit/>
        </w:trPr>
        <w:tc>
          <w:tcPr>
            <w:tcW w:type="dxa" w:w="228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behavior_events</w:t>
            </w:r>
          </w:p>
        </w:tc>
        <w:tc>
          <w:tcPr>
            <w:tcW w:type="dxa" w:w="507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session_id</w:t>
            </w:r>
            <w:r>
              <w:rPr>
                <w:sz w:val="18"/>
                <w:szCs w:val="18"/>
              </w:rPr>
              <w:t xml:space="preserve">, </w:t>
            </w:r>
            <w:r>
              <w:rPr>
                <w:rFonts w:ascii="Courier New" w:cs="Courier New" w:eastAsia="Courier New" w:hAnsi="Courier New"/>
                <w:sz w:val="18"/>
                <w:szCs w:val="18"/>
              </w:rPr>
              <w:t xml:space="preserve">behavior_definition_id</w:t>
            </w:r>
            <w:r>
              <w:rPr>
                <w:sz w:val="18"/>
                <w:szCs w:val="18"/>
              </w:rPr>
              <w:t xml:space="preserve">, </w:t>
            </w:r>
            <w:r>
              <w:rPr>
                <w:rFonts w:ascii="Courier New" w:cs="Courier New" w:eastAsia="Courier New" w:hAnsi="Courier New"/>
                <w:sz w:val="18"/>
                <w:szCs w:val="18"/>
              </w:rPr>
              <w:t xml:space="preserve">kind</w:t>
            </w:r>
            <w:r>
              <w:rPr>
                <w:sz w:val="18"/>
                <w:szCs w:val="18"/>
              </w:rPr>
              <w:t xml:space="preserve"> (início, fim, ocorrência, intervalo), </w:t>
            </w:r>
            <w:r>
              <w:rPr>
                <w:rFonts w:ascii="Courier New" w:cs="Courier New" w:eastAsia="Courier New" w:hAnsi="Courier New"/>
                <w:sz w:val="18"/>
                <w:szCs w:val="18"/>
              </w:rPr>
              <w:t xml:space="preserve">occurred_at</w:t>
            </w:r>
            <w:r>
              <w:rPr>
                <w:sz w:val="18"/>
                <w:szCs w:val="18"/>
              </w:rPr>
              <w:t xml:space="preserve">, </w:t>
            </w:r>
            <w:r>
              <w:rPr>
                <w:rFonts w:ascii="Courier New" w:cs="Courier New" w:eastAsia="Courier New" w:hAnsi="Courier New"/>
                <w:sz w:val="18"/>
                <w:szCs w:val="18"/>
              </w:rPr>
              <w:t xml:space="preserve">duration_s</w:t>
            </w:r>
            <w:r>
              <w:rPr>
                <w:sz w:val="18"/>
                <w:szCs w:val="18"/>
              </w:rPr>
              <w:t xml:space="preserve">, </w:t>
            </w:r>
            <w:r>
              <w:rPr>
                <w:rFonts w:ascii="Courier New" w:cs="Courier New" w:eastAsia="Courier New" w:hAnsi="Courier New"/>
                <w:sz w:val="18"/>
                <w:szCs w:val="18"/>
              </w:rPr>
              <w:t xml:space="preserve">antecedent</w:t>
            </w:r>
            <w:r>
              <w:rPr>
                <w:sz w:val="18"/>
                <w:szCs w:val="18"/>
              </w:rPr>
              <w:t xml:space="preserve">, </w:t>
            </w:r>
            <w:r>
              <w:rPr>
                <w:rFonts w:ascii="Courier New" w:cs="Courier New" w:eastAsia="Courier New" w:hAnsi="Courier New"/>
                <w:sz w:val="18"/>
                <w:szCs w:val="18"/>
              </w:rPr>
              <w:t xml:space="preserve">consequence</w:t>
            </w:r>
            <w:r>
              <w:rPr>
                <w:sz w:val="18"/>
                <w:szCs w:val="18"/>
              </w:rPr>
              <w:t xml:space="preserve">, </w:t>
            </w:r>
            <w:r>
              <w:rPr>
                <w:rFonts w:ascii="Courier New" w:cs="Courier New" w:eastAsia="Courier New" w:hAnsi="Courier New"/>
                <w:sz w:val="18"/>
                <w:szCs w:val="18"/>
              </w:rPr>
              <w:t xml:space="preserve">activity</w:t>
            </w:r>
            <w:r>
              <w:rPr>
                <w:sz w:val="18"/>
                <w:szCs w:val="18"/>
              </w:rPr>
              <w:t xml:space="preserve">, </w:t>
            </w:r>
            <w:r>
              <w:rPr>
                <w:rFonts w:ascii="Courier New" w:cs="Courier New" w:eastAsia="Courier New" w:hAnsi="Courier New"/>
                <w:sz w:val="18"/>
                <w:szCs w:val="18"/>
              </w:rPr>
              <w:t xml:space="preserve">demand_present</w:t>
            </w:r>
            <w:r>
              <w:rPr>
                <w:sz w:val="18"/>
                <w:szCs w:val="18"/>
              </w:rPr>
              <w:t xml:space="preserve">, </w:t>
            </w:r>
            <w:r>
              <w:rPr>
                <w:rFonts w:ascii="Courier New" w:cs="Courier New" w:eastAsia="Courier New" w:hAnsi="Courier New"/>
                <w:sz w:val="18"/>
                <w:szCs w:val="18"/>
              </w:rPr>
              <w:t xml:space="preserve">reinforcer_in_use_id</w:t>
            </w:r>
          </w:p>
        </w:tc>
        <w:tc>
          <w:tcPr>
            <w:tcW w:type="dxa" w:w="228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Medida segue a definição</w:t>
            </w:r>
          </w:p>
        </w:tc>
      </w:tr>
    </w:tbl>
    <w:p>
      <w:pPr>
        <w:spacing w:after="120"/>
      </w:pPr>
    </w:p>
    <w:p>
      <w:pPr>
        <w:pStyle w:val="Heading2"/>
        <w:keepNext/>
      </w:pPr>
      <w:r>
        <w:t xml:space="preserve">7.3 Imposição do modelo único no banco</w:t>
      </w:r>
    </w:p>
    <w:p>
      <w:pPr>
        <w:spacing w:after="140" w:before="0" w:line="300"/>
        <w:jc w:val="left"/>
      </w:pPr>
      <w:r>
        <w:t xml:space="preserve">A regra P1 não pode depender só da interface, porque registros chegam também pela sincronização offline e pela API. O banco a impõe em três camadas.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67085" w:sz="12"/>
              <w:bottom w:val="none" w:color="FFFFFF" w:sz="0"/>
              <w:right w:val="none" w:color="FFFFFF" w:sz="0"/>
            </w:tcBorders>
            <w:shd w:fill="F2F4F7" w:color="auto" w:val="clear"/>
            <w:tcMar>
              <w:top w:type="dxa" w:w="100"/>
              <w:left w:type="dxa" w:w="160"/>
              <w:bottom w:type="dxa" w:w="100"/>
              <w:right w:type="dxa" w:w="120"/>
            </w:tcMar>
          </w:tcPr>
          <w:p>
            <w:pPr>
              <w:spacing w:after="0" w:line="240"/>
            </w:pPr>
            <w:r>
              <w:rPr>
                <w:rFonts w:ascii="Courier New" w:cs="Courier New" w:eastAsia="Courier New" w:hAnsi="Courier New"/>
                <w:color w:val="1D2939"/>
                <w:sz w:val="16"/>
                <w:szCs w:val="16"/>
              </w:rPr>
              <w:t xml:space="preserve">-- 1. O modelo do plano é obrigatório e não muda depois de aprovado</w:t>
            </w:r>
          </w:p>
          <w:p>
            <w:pPr>
              <w:spacing w:after="0" w:line="240"/>
            </w:pPr>
            <w:r>
              <w:rPr>
                <w:rFonts w:ascii="Courier New" w:cs="Courier New" w:eastAsia="Courier New" w:hAnsi="Courier New"/>
                <w:color w:val="1D2939"/>
                <w:sz w:val="16"/>
                <w:szCs w:val="16"/>
              </w:rPr>
              <w:t xml:space="preserve">create type public.intervention_model as enum ('ABA', 'DENVER');</w:t>
            </w:r>
          </w:p>
          <w:p>
            <w:pPr>
              <w:spacing w:after="0" w:line="240"/>
            </w:pPr>
            <w:r>
              <w:rPr>
                <w:rFonts w:ascii="Courier New" w:cs="Courier New" w:eastAsia="Courier New" w:hAnsi="Courier New"/>
                <w:color w:val="1D2939"/>
                <w:sz w:val="16"/>
                <w:szCs w:val="16"/>
              </w:rPr>
              <w:t xml:space="preserve">alter table public.intervention_plans</w:t>
            </w:r>
          </w:p>
          <w:p>
            <w:pPr>
              <w:spacing w:after="0" w:line="240"/>
            </w:pPr>
            <w:r>
              <w:rPr>
                <w:rFonts w:ascii="Courier New" w:cs="Courier New" w:eastAsia="Courier New" w:hAnsi="Courier New"/>
                <w:color w:val="1D2939"/>
                <w:sz w:val="16"/>
                <w:szCs w:val="16"/>
              </w:rPr>
              <w:t xml:space="preserve">  add constraint plan_model_required check (model is not null);</w:t>
            </w:r>
          </w:p>
          <w:p>
            <w:pPr>
              <w:spacing w:after="0" w:line="240"/>
            </w:pPr>
            <w:r>
              <w:rPr>
                <w:rFonts w:ascii="Courier New" w:cs="Courier New" w:eastAsia="Courier New" w:hAnsi="Courier New"/>
                <w:color w:val="1D2939"/>
                <w:sz w:val="16"/>
                <w:szCs w:val="16"/>
              </w:rPr>
              <w:t xml:space="preserve"> </w:t>
            </w:r>
          </w:p>
          <w:p>
            <w:pPr>
              <w:spacing w:after="0" w:line="240"/>
            </w:pPr>
            <w:r>
              <w:rPr>
                <w:rFonts w:ascii="Courier New" w:cs="Courier New" w:eastAsia="Courier New" w:hAnsi="Courier New"/>
                <w:color w:val="1D2939"/>
                <w:sz w:val="16"/>
                <w:szCs w:val="16"/>
              </w:rPr>
              <w:t xml:space="preserve">create function public.lock_plan_model() returns trigger language plpgsql as $$</w:t>
            </w:r>
          </w:p>
          <w:p>
            <w:pPr>
              <w:spacing w:after="0" w:line="240"/>
            </w:pPr>
            <w:r>
              <w:rPr>
                <w:rFonts w:ascii="Courier New" w:cs="Courier New" w:eastAsia="Courier New" w:hAnsi="Courier New"/>
                <w:color w:val="1D2939"/>
                <w:sz w:val="16"/>
                <w:szCs w:val="16"/>
              </w:rPr>
              <w:t xml:space="preserve">begin</w:t>
            </w:r>
          </w:p>
          <w:p>
            <w:pPr>
              <w:spacing w:after="0" w:line="240"/>
            </w:pPr>
            <w:r>
              <w:rPr>
                <w:rFonts w:ascii="Courier New" w:cs="Courier New" w:eastAsia="Courier New" w:hAnsi="Courier New"/>
                <w:color w:val="1D2939"/>
                <w:sz w:val="16"/>
                <w:szCs w:val="16"/>
              </w:rPr>
              <w:t xml:space="preserve">  if old.status &lt;&gt; 'rascunho' and new.model is distinct from old.model then</w:t>
            </w:r>
          </w:p>
          <w:p>
            <w:pPr>
              <w:spacing w:after="0" w:line="240"/>
            </w:pPr>
            <w:r>
              <w:rPr>
                <w:rFonts w:ascii="Courier New" w:cs="Courier New" w:eastAsia="Courier New" w:hAnsi="Courier New"/>
                <w:color w:val="1D2939"/>
                <w:sz w:val="16"/>
                <w:szCs w:val="16"/>
              </w:rPr>
              <w:t xml:space="preserve">    raise exception 'model is immutable after approval; close plan and open a new one';</w:t>
            </w:r>
          </w:p>
          <w:p>
            <w:pPr>
              <w:spacing w:after="0" w:line="240"/>
            </w:pPr>
            <w:r>
              <w:rPr>
                <w:rFonts w:ascii="Courier New" w:cs="Courier New" w:eastAsia="Courier New" w:hAnsi="Courier New"/>
                <w:color w:val="1D2939"/>
                <w:sz w:val="16"/>
                <w:szCs w:val="16"/>
              </w:rPr>
              <w:t xml:space="preserve">  end if;</w:t>
            </w:r>
          </w:p>
          <w:p>
            <w:pPr>
              <w:spacing w:after="0" w:line="240"/>
            </w:pPr>
            <w:r>
              <w:rPr>
                <w:rFonts w:ascii="Courier New" w:cs="Courier New" w:eastAsia="Courier New" w:hAnsi="Courier New"/>
                <w:color w:val="1D2939"/>
                <w:sz w:val="16"/>
                <w:szCs w:val="16"/>
              </w:rPr>
              <w:t xml:space="preserve">  return new;</w:t>
            </w:r>
          </w:p>
          <w:p>
            <w:pPr>
              <w:spacing w:after="0" w:line="240"/>
            </w:pPr>
            <w:r>
              <w:rPr>
                <w:rFonts w:ascii="Courier New" w:cs="Courier New" w:eastAsia="Courier New" w:hAnsi="Courier New"/>
                <w:color w:val="1D2939"/>
                <w:sz w:val="16"/>
                <w:szCs w:val="16"/>
              </w:rPr>
              <w:t xml:space="preserve">end $$;</w:t>
            </w:r>
          </w:p>
          <w:p>
            <w:pPr>
              <w:spacing w:after="0" w:line="240"/>
            </w:pPr>
            <w:r>
              <w:rPr>
                <w:rFonts w:ascii="Courier New" w:cs="Courier New" w:eastAsia="Courier New" w:hAnsi="Courier New"/>
                <w:color w:val="1D2939"/>
                <w:sz w:val="16"/>
                <w:szCs w:val="16"/>
              </w:rPr>
              <w:t xml:space="preserve"> </w:t>
            </w:r>
          </w:p>
          <w:p>
            <w:pPr>
              <w:spacing w:after="0" w:line="240"/>
            </w:pPr>
            <w:r>
              <w:rPr>
                <w:rFonts w:ascii="Courier New" w:cs="Courier New" w:eastAsia="Courier New" w:hAnsi="Courier New"/>
                <w:color w:val="1D2939"/>
                <w:sz w:val="16"/>
                <w:szCs w:val="16"/>
              </w:rPr>
              <w:t xml:space="preserve">-- 2. A sessão herda o modelo do plano vigente</w:t>
            </w:r>
          </w:p>
          <w:p>
            <w:pPr>
              <w:spacing w:after="0" w:line="240"/>
            </w:pPr>
            <w:r>
              <w:rPr>
                <w:rFonts w:ascii="Courier New" w:cs="Courier New" w:eastAsia="Courier New" w:hAnsi="Courier New"/>
                <w:color w:val="1D2939"/>
                <w:sz w:val="16"/>
                <w:szCs w:val="16"/>
              </w:rPr>
              <w:t xml:space="preserve">create function public.session_model_matches_plan() returns trigger language plpgsql as $$</w:t>
            </w:r>
          </w:p>
          <w:p>
            <w:pPr>
              <w:spacing w:after="0" w:line="240"/>
            </w:pPr>
            <w:r>
              <w:rPr>
                <w:rFonts w:ascii="Courier New" w:cs="Courier New" w:eastAsia="Courier New" w:hAnsi="Courier New"/>
                <w:color w:val="1D2939"/>
                <w:sz w:val="16"/>
                <w:szCs w:val="16"/>
              </w:rPr>
              <w:t xml:space="preserve">begin</w:t>
            </w:r>
          </w:p>
          <w:p>
            <w:pPr>
              <w:spacing w:after="0" w:line="240"/>
            </w:pPr>
            <w:r>
              <w:rPr>
                <w:rFonts w:ascii="Courier New" w:cs="Courier New" w:eastAsia="Courier New" w:hAnsi="Courier New"/>
                <w:color w:val="1D2939"/>
                <w:sz w:val="16"/>
                <w:szCs w:val="16"/>
              </w:rPr>
              <w:t xml:space="preserve">  if new.model &lt;&gt; (select model from public.intervention_plans where id = new.plan_id) then</w:t>
            </w:r>
          </w:p>
          <w:p>
            <w:pPr>
              <w:spacing w:after="0" w:line="240"/>
            </w:pPr>
            <w:r>
              <w:rPr>
                <w:rFonts w:ascii="Courier New" w:cs="Courier New" w:eastAsia="Courier New" w:hAnsi="Courier New"/>
                <w:color w:val="1D2939"/>
                <w:sz w:val="16"/>
                <w:szCs w:val="16"/>
              </w:rPr>
              <w:t xml:space="preserve">    raise exception 'session model must match plan model';</w:t>
            </w:r>
          </w:p>
          <w:p>
            <w:pPr>
              <w:spacing w:after="0" w:line="240"/>
            </w:pPr>
            <w:r>
              <w:rPr>
                <w:rFonts w:ascii="Courier New" w:cs="Courier New" w:eastAsia="Courier New" w:hAnsi="Courier New"/>
                <w:color w:val="1D2939"/>
                <w:sz w:val="16"/>
                <w:szCs w:val="16"/>
              </w:rPr>
              <w:t xml:space="preserve">  end if;</w:t>
            </w:r>
          </w:p>
          <w:p>
            <w:pPr>
              <w:spacing w:after="0" w:line="240"/>
            </w:pPr>
            <w:r>
              <w:rPr>
                <w:rFonts w:ascii="Courier New" w:cs="Courier New" w:eastAsia="Courier New" w:hAnsi="Courier New"/>
                <w:color w:val="1D2939"/>
                <w:sz w:val="16"/>
                <w:szCs w:val="16"/>
              </w:rPr>
              <w:t xml:space="preserve">  return new;</w:t>
            </w:r>
          </w:p>
          <w:p>
            <w:pPr>
              <w:spacing w:after="0" w:line="240"/>
            </w:pPr>
            <w:r>
              <w:rPr>
                <w:rFonts w:ascii="Courier New" w:cs="Courier New" w:eastAsia="Courier New" w:hAnsi="Courier New"/>
                <w:color w:val="1D2939"/>
                <w:sz w:val="16"/>
                <w:szCs w:val="16"/>
              </w:rPr>
              <w:t xml:space="preserve">end $$;</w:t>
            </w:r>
          </w:p>
          <w:p>
            <w:pPr>
              <w:spacing w:after="0" w:line="240"/>
            </w:pPr>
            <w:r>
              <w:rPr>
                <w:rFonts w:ascii="Courier New" w:cs="Courier New" w:eastAsia="Courier New" w:hAnsi="Courier New"/>
                <w:color w:val="1D2939"/>
                <w:sz w:val="16"/>
                <w:szCs w:val="16"/>
              </w:rPr>
              <w:t xml:space="preserve"> </w:t>
            </w:r>
          </w:p>
          <w:p>
            <w:pPr>
              <w:spacing w:after="0" w:line="240"/>
            </w:pPr>
            <w:r>
              <w:rPr>
                <w:rFonts w:ascii="Courier New" w:cs="Courier New" w:eastAsia="Courier New" w:hAnsi="Courier New"/>
                <w:color w:val="1D2939"/>
                <w:sz w:val="16"/>
                <w:szCs w:val="16"/>
              </w:rPr>
              <w:t xml:space="preserve">-- 3. Registros de tentativa só em sessões ABA; registros de rotina só em sessões Denver</w:t>
            </w:r>
          </w:p>
          <w:p>
            <w:pPr>
              <w:spacing w:after="0" w:line="240"/>
            </w:pPr>
            <w:r>
              <w:rPr>
                <w:rFonts w:ascii="Courier New" w:cs="Courier New" w:eastAsia="Courier New" w:hAnsi="Courier New"/>
                <w:color w:val="1D2939"/>
                <w:sz w:val="16"/>
                <w:szCs w:val="16"/>
              </w:rPr>
              <w:t xml:space="preserve">create function public.trial_requires_aba() returns trigger language plpgsql as $$</w:t>
            </w:r>
          </w:p>
          <w:p>
            <w:pPr>
              <w:spacing w:after="0" w:line="240"/>
            </w:pPr>
            <w:r>
              <w:rPr>
                <w:rFonts w:ascii="Courier New" w:cs="Courier New" w:eastAsia="Courier New" w:hAnsi="Courier New"/>
                <w:color w:val="1D2939"/>
                <w:sz w:val="16"/>
                <w:szCs w:val="16"/>
              </w:rPr>
              <w:t xml:space="preserve">begin</w:t>
            </w:r>
          </w:p>
          <w:p>
            <w:pPr>
              <w:spacing w:after="0" w:line="240"/>
            </w:pPr>
            <w:r>
              <w:rPr>
                <w:rFonts w:ascii="Courier New" w:cs="Courier New" w:eastAsia="Courier New" w:hAnsi="Courier New"/>
                <w:color w:val="1D2939"/>
                <w:sz w:val="16"/>
                <w:szCs w:val="16"/>
              </w:rPr>
              <w:t xml:space="preserve">  if (select model from public.sessions where id = new.session_id) &lt;&gt; 'ABA' then</w:t>
            </w:r>
          </w:p>
          <w:p>
            <w:pPr>
              <w:spacing w:after="0" w:line="240"/>
            </w:pPr>
            <w:r>
              <w:rPr>
                <w:rFonts w:ascii="Courier New" w:cs="Courier New" w:eastAsia="Courier New" w:hAnsi="Courier New"/>
                <w:color w:val="1D2939"/>
                <w:sz w:val="16"/>
                <w:szCs w:val="16"/>
              </w:rPr>
              <w:t xml:space="preserve">    raise exception 'trial records are only valid in ABA sessions';</w:t>
            </w:r>
          </w:p>
          <w:p>
            <w:pPr>
              <w:spacing w:after="0" w:line="240"/>
            </w:pPr>
            <w:r>
              <w:rPr>
                <w:rFonts w:ascii="Courier New" w:cs="Courier New" w:eastAsia="Courier New" w:hAnsi="Courier New"/>
                <w:color w:val="1D2939"/>
                <w:sz w:val="16"/>
                <w:szCs w:val="16"/>
              </w:rPr>
              <w:t xml:space="preserve">  end if;</w:t>
            </w:r>
          </w:p>
          <w:p>
            <w:pPr>
              <w:spacing w:after="0" w:line="240"/>
            </w:pPr>
            <w:r>
              <w:rPr>
                <w:rFonts w:ascii="Courier New" w:cs="Courier New" w:eastAsia="Courier New" w:hAnsi="Courier New"/>
                <w:color w:val="1D2939"/>
                <w:sz w:val="16"/>
                <w:szCs w:val="16"/>
              </w:rPr>
              <w:t xml:space="preserve">  return new;</w:t>
            </w:r>
          </w:p>
          <w:p>
            <w:pPr>
              <w:spacing w:after="0" w:line="240"/>
            </w:pPr>
            <w:r>
              <w:rPr>
                <w:rFonts w:ascii="Courier New" w:cs="Courier New" w:eastAsia="Courier New" w:hAnsi="Courier New"/>
                <w:color w:val="1D2939"/>
                <w:sz w:val="16"/>
                <w:szCs w:val="16"/>
              </w:rPr>
              <w:t xml:space="preserve">end $$;</w:t>
            </w:r>
          </w:p>
          <w:p>
            <w:pPr>
              <w:spacing w:after="0" w:line="240"/>
            </w:pPr>
            <w:r>
              <w:rPr>
                <w:rFonts w:ascii="Courier New" w:cs="Courier New" w:eastAsia="Courier New" w:hAnsi="Courier New"/>
                <w:color w:val="1D2939"/>
                <w:sz w:val="16"/>
                <w:szCs w:val="16"/>
              </w:rPr>
              <w:t xml:space="preserve">-- função espelhada denver_record_requires_denver() para denver_routine_records e denver_step_scores</w:t>
            </w:r>
          </w:p>
        </w:tc>
      </w:tr>
    </w:tbl>
    <w:p>
      <w:pPr>
        <w:spacing w:after="120"/>
      </w:pPr>
    </w:p>
    <w:p>
      <w:pPr>
        <w:spacing w:after="140" w:before="0" w:line="300"/>
        <w:jc w:val="left"/>
      </w:pPr>
      <w:r>
        <w:t xml:space="preserve">A transição de modelo é uma operação explícita, exposta como função </w:t>
      </w:r>
      <w:r>
        <w:rPr>
          <w:rFonts w:ascii="Courier New" w:cs="Courier New" w:eastAsia="Courier New" w:hAnsi="Courier New"/>
          <w:sz w:val="19"/>
          <w:szCs w:val="19"/>
        </w:rPr>
        <w:t xml:space="preserve">transition_case_model(case_id, new_model, reason)</w:t>
      </w:r>
      <w:r>
        <w:t xml:space="preserve">, disponível apenas ao responsável técnico. Ela encerra o plano vigente (que permanece no prontuário, com seus gráficos congelados), cria um novo plano em rascunho com o novo modelo e </w:t>
      </w:r>
      <w:r>
        <w:rPr>
          <w:rFonts w:ascii="Courier New" w:cs="Courier New" w:eastAsia="Courier New" w:hAnsi="Courier New"/>
          <w:sz w:val="19"/>
          <w:szCs w:val="19"/>
        </w:rPr>
        <w:t xml:space="preserve">supersedes_plan_id</w:t>
      </w:r>
      <w:r>
        <w:t xml:space="preserve"> apontando para o anterior, e registra o evento na linha do tempo. Os gráficos do novo plano começam com nova linha de base; a plataforma não traça linhas contínuas entre planos de modelos diferentes.</w:t>
      </w:r>
    </w:p>
    <w:p>
      <w:pPr>
        <w:pStyle w:val="Heading2"/>
        <w:keepNext/>
      </w:pPr>
      <w:r>
        <w:t xml:space="preserve">7.4 Mudança de fase e trilha de decisão</w:t>
      </w:r>
    </w:p>
    <w:p>
      <w:pPr>
        <w:spacing w:after="140" w:before="0" w:line="300"/>
        <w:jc w:val="left"/>
      </w:pPr>
      <w:r>
        <w:t xml:space="preserve">Toda mudança de fase de alvo, domínio de passo Denver ou alteração de critério passa por função específica, nunca por atualização direta da tabela. A função valida a permissão (apenas supervisão), exige justificativa textual, grava o evento em </w:t>
      </w:r>
      <w:r>
        <w:rPr>
          <w:rFonts w:ascii="Courier New" w:cs="Courier New" w:eastAsia="Courier New" w:hAnsi="Courier New"/>
          <w:sz w:val="19"/>
          <w:szCs w:val="19"/>
        </w:rPr>
        <w:t xml:space="preserve">case_timeline_events</w:t>
      </w:r>
      <w:r>
        <w:t xml:space="preserve"> com o estado anterior e o novo, e anexa o identificador do alerta do motor de regras que motivou a decisão, quando houver. Isso cria uma trilha completa de decisão clínica, útil para supervisão, para auditoria do conselho e para avaliar, no futuro, a qualidade das próprias regras de decisão.</w:t>
      </w:r>
    </w:p>
    <w:p>
      <w:pPr>
        <w:pStyle w:val="Heading2"/>
        <w:keepNext/>
      </w:pPr>
      <w:r>
        <w:t xml:space="preserve">7.5 Herança conceitual da base de referência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97"/>
        <w:gridCol w:w="6341"/>
      </w:tblGrid>
      <w:tr>
        <w:trPr>
          <w:tblHeader/>
        </w:trPr>
        <w:tc>
          <w:tcPr>
            <w:tcW w:type="dxa" w:w="3297"/>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Conceito na base</w:t>
            </w:r>
          </w:p>
        </w:tc>
        <w:tc>
          <w:tcPr>
            <w:tcW w:type="dxa" w:w="6341"/>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Como aparece no novo modelo</w:t>
            </w:r>
          </w:p>
        </w:tc>
      </w:tr>
      <w:tr>
        <w:trPr>
          <w:cantSplit/>
        </w:trPr>
        <w:tc>
          <w:tcPr>
            <w:tcW w:type="dxa" w:w="329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Organizações, vínculos e RLS por organização</w:t>
            </w:r>
          </w:p>
        </w:tc>
        <w:tc>
          <w:tcPr>
            <w:tcW w:type="dxa" w:w="634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Mantido como princípio; vínculo passa a ser por caso e com papel (</w:t>
            </w:r>
            <w:r>
              <w:rPr>
                <w:rFonts w:ascii="Courier New" w:cs="Courier New" w:eastAsia="Courier New" w:hAnsi="Courier New"/>
                <w:sz w:val="18"/>
                <w:szCs w:val="18"/>
              </w:rPr>
              <w:t xml:space="preserve">case_team_members</w:t>
            </w:r>
            <w:r>
              <w:rPr>
                <w:sz w:val="18"/>
                <w:szCs w:val="18"/>
              </w:rPr>
              <w:t xml:space="preserve">), não por criança com permissões avulsas</w:t>
            </w:r>
          </w:p>
        </w:tc>
      </w:tr>
      <w:tr>
        <w:trPr>
          <w:cantSplit/>
        </w:trPr>
        <w:tc>
          <w:tcPr>
            <w:tcW w:type="dxa" w:w="329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Sessão em rascunho, ativa, concluída, cancelada</w:t>
            </w:r>
          </w:p>
        </w:tc>
        <w:tc>
          <w:tcPr>
            <w:tcW w:type="dxa" w:w="6341"/>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Mantido; sessão ganha plano, modelo, ambiente, aplicador e minutos de tela</w:t>
            </w:r>
          </w:p>
        </w:tc>
      </w:tr>
      <w:tr>
        <w:trPr>
          <w:cantSplit/>
        </w:trPr>
        <w:tc>
          <w:tcPr>
            <w:tcW w:type="dxa" w:w="329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Módulos de sessão</w:t>
            </w:r>
          </w:p>
        </w:tc>
        <w:tc>
          <w:tcPr>
            <w:tcW w:type="dxa" w:w="634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Viram blocos tipados (DTT, NET, cadeia, digital, rotina Denver, intervalo, comportamento)</w:t>
            </w:r>
          </w:p>
        </w:tc>
      </w:tr>
      <w:tr>
        <w:trPr>
          <w:cantSplit/>
        </w:trPr>
        <w:tc>
          <w:tcPr>
            <w:tcW w:type="dxa" w:w="329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Execução de atividade digital</w:t>
            </w:r>
          </w:p>
        </w:tc>
        <w:tc>
          <w:tcPr>
            <w:tcW w:type="dxa" w:w="6341"/>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Mantida e ligada ao bloco e aos alvos da execução</w:t>
            </w:r>
          </w:p>
        </w:tc>
      </w:tr>
      <w:tr>
        <w:trPr>
          <w:cantSplit/>
        </w:trPr>
        <w:tc>
          <w:tcPr>
            <w:tcW w:type="dxa" w:w="329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Eventos clínicos append-only e idempotentes</w:t>
            </w:r>
          </w:p>
        </w:tc>
        <w:tc>
          <w:tcPr>
            <w:tcW w:type="dxa" w:w="634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Mantidos como registro bruto; acrescentam versão de esquema e referência obrigatória ao alvo em eventos de tentativa</w:t>
            </w:r>
          </w:p>
        </w:tc>
      </w:tr>
      <w:tr>
        <w:trPr>
          <w:cantSplit/>
        </w:trPr>
        <w:tc>
          <w:tcPr>
            <w:tcW w:type="dxa" w:w="329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Sessão infantil por token com hash e adaptação</w:t>
            </w:r>
          </w:p>
        </w:tc>
        <w:tc>
          <w:tcPr>
            <w:tcW w:type="dxa" w:w="6341"/>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Mantida; adaptação preenchida a partir do perfil sensorial e da faixa etária</w:t>
            </w:r>
          </w:p>
        </w:tc>
      </w:tr>
      <w:tr>
        <w:trPr>
          <w:cantSplit/>
        </w:trPr>
        <w:tc>
          <w:tcPr>
            <w:tcW w:type="dxa" w:w="329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Pontuação de missão no servidor e autorrelato separado</w:t>
            </w:r>
          </w:p>
        </w:tc>
        <w:tc>
          <w:tcPr>
            <w:tcW w:type="dxa" w:w="634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Mantidos; autorrelato da criança nunca entra como desempenho</w:t>
            </w:r>
          </w:p>
        </w:tc>
      </w:tr>
      <w:tr>
        <w:trPr>
          <w:cantSplit/>
        </w:trPr>
        <w:tc>
          <w:tcPr>
            <w:tcW w:type="dxa" w:w="329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Instrumentos PHQ-9, ASRS, AQ-10, CBI, WHO-5</w:t>
            </w:r>
          </w:p>
        </w:tc>
        <w:tc>
          <w:tcPr>
            <w:tcW w:type="dxa" w:w="6341"/>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Não incluídos</w:t>
            </w:r>
          </w:p>
        </w:tc>
      </w:tr>
    </w:tbl>
    <w:p>
      <w:pPr>
        <w:spacing w:after="120"/>
      </w:pPr>
    </w:p>
    <w:p>
      <w:pPr>
        <w:pStyle w:val="Heading2"/>
        <w:keepNext/>
      </w:pPr>
      <w:r>
        <w:t xml:space="preserve">7.6 Controle de acesso</w:t>
      </w:r>
    </w:p>
    <w:p>
      <w:pPr>
        <w:spacing w:after="140" w:before="0" w:line="300"/>
        <w:jc w:val="left"/>
      </w:pPr>
      <w:r>
        <w:t xml:space="preserve">O controle continua baseado em RLS, agora com uma função central </w:t>
      </w:r>
      <w:r>
        <w:rPr>
          <w:rFonts w:ascii="Courier New" w:cs="Courier New" w:eastAsia="Courier New" w:hAnsi="Courier New"/>
          <w:sz w:val="19"/>
          <w:szCs w:val="19"/>
        </w:rPr>
        <w:t xml:space="preserve">has_case_role(case_id, roles[])</w:t>
      </w:r>
      <w:r>
        <w:t xml:space="preserve">. As regras por perfil são as seguintes.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55"/>
        <w:gridCol w:w="2029"/>
        <w:gridCol w:w="1902"/>
        <w:gridCol w:w="1902"/>
        <w:gridCol w:w="1650"/>
      </w:tblGrid>
      <w:tr>
        <w:trPr>
          <w:tblHeader/>
        </w:trPr>
        <w:tc>
          <w:tcPr>
            <w:tcW w:type="dxa" w:w="2155"/>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Recurso</w:t>
            </w:r>
          </w:p>
        </w:tc>
        <w:tc>
          <w:tcPr>
            <w:tcW w:type="dxa" w:w="2029"/>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Responsável técnico / supervisor</w:t>
            </w:r>
          </w:p>
        </w:tc>
        <w:tc>
          <w:tcPr>
            <w:tcW w:type="dxa" w:w="1902"/>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Aplicador</w:t>
            </w:r>
          </w:p>
        </w:tc>
        <w:tc>
          <w:tcPr>
            <w:tcW w:type="dxa" w:w="1902"/>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Família</w:t>
            </w:r>
          </w:p>
        </w:tc>
        <w:tc>
          <w:tcPr>
            <w:tcW w:type="dxa" w:w="1650"/>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Administração</w:t>
            </w:r>
          </w:p>
        </w:tc>
      </w:tr>
      <w:tr>
        <w:trPr>
          <w:cantSplit/>
        </w:trPr>
        <w:tc>
          <w:tcPr>
            <w:tcW w:type="dxa" w:w="215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Ficha e anamnese</w:t>
            </w:r>
          </w:p>
        </w:tc>
        <w:tc>
          <w:tcPr>
            <w:tcW w:type="dxa" w:w="202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Ler e editar</w:t>
            </w:r>
          </w:p>
        </w:tc>
        <w:tc>
          <w:tcPr>
            <w:tcW w:type="dxa" w:w="19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Ler (campos de segurança e interesses)</w:t>
            </w:r>
          </w:p>
        </w:tc>
        <w:tc>
          <w:tcPr>
            <w:tcW w:type="dxa" w:w="19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Ler e sugerir correção</w:t>
            </w:r>
          </w:p>
        </w:tc>
        <w:tc>
          <w:tcPr>
            <w:tcW w:type="dxa" w:w="165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Sem acesso</w:t>
            </w:r>
          </w:p>
        </w:tc>
      </w:tr>
      <w:tr>
        <w:trPr>
          <w:cantSplit/>
        </w:trPr>
        <w:tc>
          <w:tcPr>
            <w:tcW w:type="dxa" w:w="2155"/>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Plano, alvos e critérios</w:t>
            </w:r>
          </w:p>
        </w:tc>
        <w:tc>
          <w:tcPr>
            <w:tcW w:type="dxa" w:w="202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Ler, editar, aprovar</w:t>
            </w:r>
          </w:p>
        </w:tc>
        <w:tc>
          <w:tcPr>
            <w:tcW w:type="dxa" w:w="190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Ler</w:t>
            </w:r>
          </w:p>
        </w:tc>
        <w:tc>
          <w:tcPr>
            <w:tcW w:type="dxa" w:w="190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Ler resumo em linguagem acessível</w:t>
            </w:r>
          </w:p>
        </w:tc>
        <w:tc>
          <w:tcPr>
            <w:tcW w:type="dxa" w:w="1650"/>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Sem acesso</w:t>
            </w:r>
          </w:p>
        </w:tc>
      </w:tr>
      <w:tr>
        <w:trPr>
          <w:cantSplit/>
        </w:trPr>
        <w:tc>
          <w:tcPr>
            <w:tcW w:type="dxa" w:w="215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Registros de sessão</w:t>
            </w:r>
          </w:p>
        </w:tc>
        <w:tc>
          <w:tcPr>
            <w:tcW w:type="dxa" w:w="202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Ler e adendar</w:t>
            </w:r>
          </w:p>
        </w:tc>
        <w:tc>
          <w:tcPr>
            <w:tcW w:type="dxa" w:w="19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Criar nas próprias sessões; ler</w:t>
            </w:r>
          </w:p>
        </w:tc>
        <w:tc>
          <w:tcPr>
            <w:tcW w:type="dxa" w:w="19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Ler resumo</w:t>
            </w:r>
          </w:p>
        </w:tc>
        <w:tc>
          <w:tcPr>
            <w:tcW w:type="dxa" w:w="165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Sem acesso</w:t>
            </w:r>
          </w:p>
        </w:tc>
      </w:tr>
      <w:tr>
        <w:trPr>
          <w:cantSplit/>
        </w:trPr>
        <w:tc>
          <w:tcPr>
            <w:tcW w:type="dxa" w:w="2155"/>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Notas clínicas internas</w:t>
            </w:r>
          </w:p>
        </w:tc>
        <w:tc>
          <w:tcPr>
            <w:tcW w:type="dxa" w:w="202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Ler e escrever</w:t>
            </w:r>
          </w:p>
        </w:tc>
        <w:tc>
          <w:tcPr>
            <w:tcW w:type="dxa" w:w="190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Escrever as próprias; ler as do caso</w:t>
            </w:r>
          </w:p>
        </w:tc>
        <w:tc>
          <w:tcPr>
            <w:tcW w:type="dxa" w:w="190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Sem acesso</w:t>
            </w:r>
          </w:p>
        </w:tc>
        <w:tc>
          <w:tcPr>
            <w:tcW w:type="dxa" w:w="1650"/>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Sem acesso</w:t>
            </w:r>
          </w:p>
        </w:tc>
      </w:tr>
      <w:tr>
        <w:trPr>
          <w:cantSplit/>
        </w:trPr>
        <w:tc>
          <w:tcPr>
            <w:tcW w:type="dxa" w:w="215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Registros da família</w:t>
            </w:r>
          </w:p>
        </w:tc>
        <w:tc>
          <w:tcPr>
            <w:tcW w:type="dxa" w:w="202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Ler</w:t>
            </w:r>
          </w:p>
        </w:tc>
        <w:tc>
          <w:tcPr>
            <w:tcW w:type="dxa" w:w="19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Ler</w:t>
            </w:r>
          </w:p>
        </w:tc>
        <w:tc>
          <w:tcPr>
            <w:tcW w:type="dxa" w:w="19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Criar e ler os próprios</w:t>
            </w:r>
          </w:p>
        </w:tc>
        <w:tc>
          <w:tcPr>
            <w:tcW w:type="dxa" w:w="165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Sem acesso</w:t>
            </w:r>
          </w:p>
        </w:tc>
      </w:tr>
      <w:tr>
        <w:trPr>
          <w:cantSplit/>
        </w:trPr>
        <w:tc>
          <w:tcPr>
            <w:tcW w:type="dxa" w:w="2155"/>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Documentos finalizados</w:t>
            </w:r>
          </w:p>
        </w:tc>
        <w:tc>
          <w:tcPr>
            <w:tcW w:type="dxa" w:w="202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Emitir e ler</w:t>
            </w:r>
          </w:p>
        </w:tc>
        <w:tc>
          <w:tcPr>
            <w:tcW w:type="dxa" w:w="190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Ler</w:t>
            </w:r>
          </w:p>
        </w:tc>
        <w:tc>
          <w:tcPr>
            <w:tcW w:type="dxa" w:w="190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Ler os destinados a ela</w:t>
            </w:r>
          </w:p>
        </w:tc>
        <w:tc>
          <w:tcPr>
            <w:tcW w:type="dxa" w:w="1650"/>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Sem acesso</w:t>
            </w:r>
          </w:p>
        </w:tc>
      </w:tr>
      <w:tr>
        <w:trPr>
          <w:cantSplit/>
        </w:trPr>
        <w:tc>
          <w:tcPr>
            <w:tcW w:type="dxa" w:w="215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Auditoria de acessos</w:t>
            </w:r>
          </w:p>
        </w:tc>
        <w:tc>
          <w:tcPr>
            <w:tcW w:type="dxa" w:w="202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Ler a do caso</w:t>
            </w:r>
          </w:p>
        </w:tc>
        <w:tc>
          <w:tcPr>
            <w:tcW w:type="dxa" w:w="19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Sem acesso</w:t>
            </w:r>
          </w:p>
        </w:tc>
        <w:tc>
          <w:tcPr>
            <w:tcW w:type="dxa" w:w="19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Solicitar relatório</w:t>
            </w:r>
          </w:p>
        </w:tc>
        <w:tc>
          <w:tcPr>
            <w:tcW w:type="dxa" w:w="165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Ler metadados (quem, quando), sem conteúdo</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7B6BA8" w:sz="24"/>
              <w:bottom w:val="none" w:color="FFFFFF" w:sz="0"/>
              <w:right w:val="none" w:color="FFFFFF" w:sz="0"/>
            </w:tcBorders>
            <w:shd w:fill="EBE6F5" w:color="auto" w:val="clear"/>
            <w:tcMar>
              <w:top w:type="dxa" w:w="140"/>
              <w:left w:type="dxa" w:w="220"/>
              <w:bottom w:type="dxa" w:w="120"/>
              <w:right w:type="dxa" w:w="200"/>
            </w:tcMar>
          </w:tcPr>
          <w:p>
            <w:pPr>
              <w:spacing w:after="80"/>
            </w:pPr>
            <w:r>
              <w:rPr>
                <w:b/>
                <w:bCs/>
                <w:color w:val="7B6BA8"/>
                <w:sz w:val="20"/>
                <w:szCs w:val="20"/>
              </w:rPr>
              <w:t xml:space="preserve">Auditoria de leitura</w:t>
            </w:r>
          </w:p>
          <w:p>
            <w:pPr>
              <w:spacing w:after="70" w:line="280"/>
            </w:pPr>
            <w:r>
              <w:rPr>
                <w:sz w:val="19"/>
                <w:szCs w:val="19"/>
              </w:rPr>
              <w:t xml:space="preserve">Além de escrita, toda </w:t>
            </w:r>
            <w:r>
              <w:rPr>
                <w:b/>
                <w:bCs/>
                <w:sz w:val="19"/>
                <w:szCs w:val="19"/>
              </w:rPr>
              <w:t xml:space="preserve">leitura</w:t>
            </w:r>
            <w:r>
              <w:rPr>
                <w:sz w:val="19"/>
                <w:szCs w:val="19"/>
              </w:rPr>
              <w:t xml:space="preserve"> de prontuário, nota clínica ou documento é registrada em </w:t>
            </w:r>
            <w:r>
              <w:rPr>
                <w:rFonts w:ascii="Courier New" w:cs="Courier New" w:eastAsia="Courier New" w:hAnsi="Courier New"/>
                <w:sz w:val="19"/>
                <w:szCs w:val="19"/>
              </w:rPr>
              <w:t xml:space="preserve">audit_log</w:t>
            </w:r>
            <w:r>
              <w:rPr>
                <w:sz w:val="19"/>
                <w:szCs w:val="19"/>
              </w:rPr>
              <w:t xml:space="preserve"> (quem, quando, qual recurso, de qual dispositivo). Em prontuário de saúde de criança, saber quem consultou é tão importante quanto saber quem alterou. A leitura de listas agregadas (painéis) registra o acesso ao painel, não a cada linha.</w:t>
            </w:r>
          </w:p>
        </w:tc>
      </w:tr>
    </w:tbl>
    <w:p>
      <w:pPr>
        <w:spacing w:after="120"/>
      </w:pPr>
    </w:p>
    <w:p>
      <w:pPr>
        <w:pStyle w:val="Heading1"/>
        <w:pageBreakBefore/>
      </w:pPr>
      <w:r>
        <w:t xml:space="preserve">8. Backend II: o motor de cruzamento de dados</w:t>
      </w:r>
    </w:p>
    <w:p>
      <w:pPr>
        <w:spacing w:after="140" w:before="0" w:line="300"/>
        <w:jc w:val="left"/>
      </w:pPr>
      <w:r>
        <w:t xml:space="preserve">O motor transforma registros brutos em informação clínica acionável. Ele tem cinco estágios: ingestão, validação, projeção, avaliação de regras e apresentação. A premissa de arquitetura é que os registros brutos são a fonte da verdade e nunca mudam, e que tudo o que vem depois é derivado e pode ser reconstruído. Isso permite corrigir um erro de cálculo ou mudar uma regra e recalcular todo o histórico sem tocar no registro documental.</w:t>
      </w:r>
    </w:p>
    <w:p>
      <w:pPr>
        <w:pStyle w:val="Heading2"/>
        <w:keepNext/>
      </w:pPr>
      <w:r>
        <w:t xml:space="preserve">8.1 Fluxo geral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67085" w:sz="12"/>
              <w:bottom w:val="none" w:color="FFFFFF" w:sz="0"/>
              <w:right w:val="none" w:color="FFFFFF" w:sz="0"/>
            </w:tcBorders>
            <w:shd w:fill="F2F4F7" w:color="auto" w:val="clear"/>
            <w:tcMar>
              <w:top w:type="dxa" w:w="100"/>
              <w:left w:type="dxa" w:w="160"/>
              <w:bottom w:type="dxa" w:w="100"/>
              <w:right w:type="dxa" w:w="120"/>
            </w:tcMar>
          </w:tcPr>
          <w:p>
            <w:pPr>
              <w:spacing w:after="0" w:line="240"/>
            </w:pPr>
            <w:r>
              <w:rPr>
                <w:rFonts w:ascii="Courier New" w:cs="Courier New" w:eastAsia="Courier New" w:hAnsi="Courier New"/>
                <w:color w:val="1D2939"/>
                <w:sz w:val="16"/>
                <w:szCs w:val="16"/>
              </w:rPr>
              <w:t xml:space="preserve">DISPOSITIVO                         SERVIDOR (Supabase / Postgres)</w:t>
            </w:r>
          </w:p>
          <w:p>
            <w:pPr>
              <w:spacing w:after="0" w:line="240"/>
            </w:pPr>
            <w:r>
              <w:rPr>
                <w:rFonts w:ascii="Courier New" w:cs="Courier New" w:eastAsia="Courier New" w:hAnsi="Courier New"/>
                <w:color w:val="1D2939"/>
                <w:sz w:val="16"/>
                <w:szCs w:val="16"/>
              </w:rPr>
              <w:t xml:space="preserve">                                                                         </w:t>
            </w:r>
          </w:p>
          <w:p>
            <w:pPr>
              <w:spacing w:after="0" w:line="240"/>
            </w:pPr>
            <w:r>
              <w:rPr>
                <w:rFonts w:ascii="Courier New" w:cs="Courier New" w:eastAsia="Courier New" w:hAnsi="Courier New"/>
                <w:color w:val="1D2939"/>
                <w:sz w:val="16"/>
                <w:szCs w:val="16"/>
              </w:rPr>
              <w:t xml:space="preserve">Jogo (iframe) --SDK v2--&gt; Outbox    RPC ingest_records (idempotente)     </w:t>
            </w:r>
          </w:p>
          <w:p>
            <w:pPr>
              <w:spacing w:after="0" w:line="240"/>
            </w:pPr>
            <w:r>
              <w:rPr>
                <w:rFonts w:ascii="Courier New" w:cs="Courier New" w:eastAsia="Courier New" w:hAnsi="Courier New"/>
                <w:color w:val="1D2939"/>
                <w:sz w:val="16"/>
                <w:szCs w:val="16"/>
              </w:rPr>
              <w:t xml:space="preserve">Tela de registro -------&gt;  local  ----&gt; validação por esquema ---+       </w:t>
            </w:r>
          </w:p>
          <w:p>
            <w:pPr>
              <w:spacing w:after="0" w:line="240"/>
            </w:pPr>
            <w:r>
              <w:rPr>
                <w:rFonts w:ascii="Courier New" w:cs="Courier New" w:eastAsia="Courier New" w:hAnsi="Courier New"/>
                <w:color w:val="1D2939"/>
                <w:sz w:val="16"/>
                <w:szCs w:val="16"/>
              </w:rPr>
              <w:t xml:space="preserve">Portal da família ------&gt;  cifrada      |  inválido -&gt; quarentena|       </w:t>
            </w:r>
          </w:p>
          <w:p>
            <w:pPr>
              <w:spacing w:after="0" w:line="240"/>
            </w:pPr>
            <w:r>
              <w:rPr>
                <w:rFonts w:ascii="Courier New" w:cs="Courier New" w:eastAsia="Courier New" w:hAnsi="Courier New"/>
                <w:color w:val="1D2939"/>
                <w:sz w:val="16"/>
                <w:szCs w:val="16"/>
              </w:rPr>
              <w:t xml:space="preserve">                          (IndexedDB)   v                        |       </w:t>
            </w:r>
          </w:p>
          <w:p>
            <w:pPr>
              <w:spacing w:after="0" w:line="240"/>
            </w:pPr>
            <w:r>
              <w:rPr>
                <w:rFonts w:ascii="Courier New" w:cs="Courier New" w:eastAsia="Courier New" w:hAnsi="Courier New"/>
                <w:color w:val="1D2939"/>
                <w:sz w:val="16"/>
                <w:szCs w:val="16"/>
              </w:rPr>
              <w:t xml:space="preserve">                                    registros brutos imutáveis   |       </w:t>
            </w:r>
          </w:p>
          <w:p>
            <w:pPr>
              <w:spacing w:after="0" w:line="240"/>
            </w:pPr>
            <w:r>
              <w:rPr>
                <w:rFonts w:ascii="Courier New" w:cs="Courier New" w:eastAsia="Courier New" w:hAnsi="Courier New"/>
                <w:color w:val="1D2939"/>
                <w:sz w:val="16"/>
                <w:szCs w:val="16"/>
              </w:rPr>
              <w:t xml:space="preserve">                                    (trial_records, denver_*,    |       </w:t>
            </w:r>
          </w:p>
          <w:p>
            <w:pPr>
              <w:spacing w:after="0" w:line="240"/>
            </w:pPr>
            <w:r>
              <w:rPr>
                <w:rFonts w:ascii="Courier New" w:cs="Courier New" w:eastAsia="Courier New" w:hAnsi="Courier New"/>
                <w:color w:val="1D2939"/>
                <w:sz w:val="16"/>
                <w:szCs w:val="16"/>
              </w:rPr>
              <w:t xml:space="preserve">                                     behavior_events,            |       </w:t>
            </w:r>
          </w:p>
          <w:p>
            <w:pPr>
              <w:spacing w:after="0" w:line="240"/>
            </w:pPr>
            <w:r>
              <w:rPr>
                <w:rFonts w:ascii="Courier New" w:cs="Courier New" w:eastAsia="Courier New" w:hAnsi="Courier New"/>
                <w:color w:val="1D2939"/>
                <w:sz w:val="16"/>
                <w:szCs w:val="16"/>
              </w:rPr>
              <w:t xml:space="preserve">                                     clinical_events)            |       </w:t>
            </w:r>
          </w:p>
          <w:p>
            <w:pPr>
              <w:spacing w:after="0" w:line="240"/>
            </w:pPr>
            <w:r>
              <w:rPr>
                <w:rFonts w:ascii="Courier New" w:cs="Courier New" w:eastAsia="Courier New" w:hAnsi="Courier New"/>
                <w:color w:val="1D2939"/>
                <w:sz w:val="16"/>
                <w:szCs w:val="16"/>
              </w:rPr>
              <w:t xml:space="preserve">                                         |                       |       </w:t>
            </w:r>
          </w:p>
          <w:p>
            <w:pPr>
              <w:spacing w:after="0" w:line="240"/>
            </w:pPr>
            <w:r>
              <w:rPr>
                <w:rFonts w:ascii="Courier New" w:cs="Courier New" w:eastAsia="Courier New" w:hAnsi="Courier New"/>
                <w:color w:val="1D2939"/>
                <w:sz w:val="16"/>
                <w:szCs w:val="16"/>
              </w:rPr>
              <w:t xml:space="preserve">                                         v                       |       </w:t>
            </w:r>
          </w:p>
          <w:p>
            <w:pPr>
              <w:spacing w:after="0" w:line="240"/>
            </w:pPr>
            <w:r>
              <w:rPr>
                <w:rFonts w:ascii="Courier New" w:cs="Courier New" w:eastAsia="Courier New" w:hAnsi="Courier New"/>
                <w:color w:val="1D2939"/>
                <w:sz w:val="16"/>
                <w:szCs w:val="16"/>
              </w:rPr>
              <w:t xml:space="preserve">                                    projeções (fact_*)  &lt;--------+       </w:t>
            </w:r>
          </w:p>
          <w:p>
            <w:pPr>
              <w:spacing w:after="0" w:line="240"/>
            </w:pPr>
            <w:r>
              <w:rPr>
                <w:rFonts w:ascii="Courier New" w:cs="Courier New" w:eastAsia="Courier New" w:hAnsi="Courier New"/>
                <w:color w:val="1D2939"/>
                <w:sz w:val="16"/>
                <w:szCs w:val="16"/>
              </w:rPr>
              <w:t xml:space="preserve">                                         |                               </w:t>
            </w:r>
          </w:p>
          <w:p>
            <w:pPr>
              <w:spacing w:after="0" w:line="240"/>
            </w:pPr>
            <w:r>
              <w:rPr>
                <w:rFonts w:ascii="Courier New" w:cs="Courier New" w:eastAsia="Courier New" w:hAnsi="Courier New"/>
                <w:color w:val="1D2939"/>
                <w:sz w:val="16"/>
                <w:szCs w:val="16"/>
              </w:rPr>
              <w:t xml:space="preserve">                                         v                               </w:t>
            </w:r>
          </w:p>
          <w:p>
            <w:pPr>
              <w:spacing w:after="0" w:line="240"/>
            </w:pPr>
            <w:r>
              <w:rPr>
                <w:rFonts w:ascii="Courier New" w:cs="Courier New" w:eastAsia="Courier New" w:hAnsi="Courier New"/>
                <w:color w:val="1D2939"/>
                <w:sz w:val="16"/>
                <w:szCs w:val="16"/>
              </w:rPr>
              <w:t xml:space="preserve">                                    motor de regras -&gt; decision_alerts   </w:t>
            </w:r>
          </w:p>
          <w:p>
            <w:pPr>
              <w:spacing w:after="0" w:line="240"/>
            </w:pPr>
            <w:r>
              <w:rPr>
                <w:rFonts w:ascii="Courier New" w:cs="Courier New" w:eastAsia="Courier New" w:hAnsi="Courier New"/>
                <w:color w:val="1D2939"/>
                <w:sz w:val="16"/>
                <w:szCs w:val="16"/>
              </w:rPr>
              <w:t xml:space="preserve">                                         |                               </w:t>
            </w:r>
          </w:p>
          <w:p>
            <w:pPr>
              <w:spacing w:after="0" w:line="240"/>
            </w:pPr>
            <w:r>
              <w:rPr>
                <w:rFonts w:ascii="Courier New" w:cs="Courier New" w:eastAsia="Courier New" w:hAnsi="Courier New"/>
                <w:color w:val="1D2939"/>
                <w:sz w:val="16"/>
                <w:szCs w:val="16"/>
              </w:rPr>
              <w:t xml:space="preserve">                                         v                               </w:t>
            </w:r>
          </w:p>
          <w:p>
            <w:pPr>
              <w:spacing w:after="0" w:line="240"/>
            </w:pPr>
            <w:r>
              <w:rPr>
                <w:rFonts w:ascii="Courier New" w:cs="Courier New" w:eastAsia="Courier New" w:hAnsi="Courier New"/>
                <w:color w:val="1D2939"/>
                <w:sz w:val="16"/>
                <w:szCs w:val="16"/>
              </w:rPr>
              <w:t xml:space="preserve">                                    painéis, gráficos, relatórios        </w:t>
            </w:r>
          </w:p>
        </w:tc>
      </w:tr>
    </w:tbl>
    <w:p>
      <w:pPr>
        <w:spacing w:after="120"/>
      </w:pPr>
    </w:p>
    <w:p>
      <w:pPr>
        <w:pStyle w:val="Heading2"/>
        <w:keepNext/>
      </w:pPr>
      <w:r>
        <w:t xml:space="preserve">8.2 Protocolo de eventos v2</w:t>
      </w:r>
    </w:p>
    <w:p>
      <w:pPr>
        <w:spacing w:after="140" w:before="0" w:line="300"/>
        <w:jc w:val="left"/>
      </w:pPr>
      <w:r>
        <w:t xml:space="preserve">O protocolo herda da base o envelope (</w:t>
      </w:r>
      <w:r>
        <w:rPr>
          <w:rFonts w:ascii="Courier New" w:cs="Courier New" w:eastAsia="Courier New" w:hAnsi="Courier New"/>
          <w:sz w:val="19"/>
          <w:szCs w:val="19"/>
        </w:rPr>
        <w:t xml:space="preserve">eventId</w:t>
      </w:r>
      <w:r>
        <w:t xml:space="preserve">, </w:t>
      </w:r>
      <w:r>
        <w:rPr>
          <w:rFonts w:ascii="Courier New" w:cs="Courier New" w:eastAsia="Courier New" w:hAnsi="Courier New"/>
          <w:sz w:val="19"/>
          <w:szCs w:val="19"/>
        </w:rPr>
        <w:t xml:space="preserve">sequence</w:t>
      </w:r>
      <w:r>
        <w:t xml:space="preserve">, </w:t>
      </w:r>
      <w:r>
        <w:rPr>
          <w:rFonts w:ascii="Courier New" w:cs="Courier New" w:eastAsia="Courier New" w:hAnsi="Courier New"/>
          <w:sz w:val="19"/>
          <w:szCs w:val="19"/>
        </w:rPr>
        <w:t xml:space="preserve">runId</w:t>
      </w:r>
      <w:r>
        <w:t xml:space="preserve">, </w:t>
      </w:r>
      <w:r>
        <w:rPr>
          <w:rFonts w:ascii="Courier New" w:cs="Courier New" w:eastAsia="Courier New" w:hAnsi="Courier New"/>
          <w:sz w:val="19"/>
          <w:szCs w:val="19"/>
        </w:rPr>
        <w:t xml:space="preserve">type</w:t>
      </w:r>
      <w:r>
        <w:t xml:space="preserve">, </w:t>
      </w:r>
      <w:r>
        <w:rPr>
          <w:rFonts w:ascii="Courier New" w:cs="Courier New" w:eastAsia="Courier New" w:hAnsi="Courier New"/>
          <w:sz w:val="19"/>
          <w:szCs w:val="19"/>
        </w:rPr>
        <w:t xml:space="preserve">occurredAt</w:t>
      </w:r>
      <w:r>
        <w:t xml:space="preserve">, </w:t>
      </w:r>
      <w:r>
        <w:rPr>
          <w:rFonts w:ascii="Courier New" w:cs="Courier New" w:eastAsia="Courier New" w:hAnsi="Courier New"/>
          <w:sz w:val="19"/>
          <w:szCs w:val="19"/>
        </w:rPr>
        <w:t xml:space="preserve">payload</w:t>
      </w:r>
      <w:r>
        <w:t xml:space="preserve">), que funcionou bem, e o amplia. A mudança essencial é que eventos de tentativa passam a carregar a referência clínica completa, fornecida pelo hospedeiro ao jogo no </w:t>
      </w:r>
      <w:r>
        <w:rPr>
          <w:rFonts w:ascii="Courier New" w:cs="Courier New" w:eastAsia="Courier New" w:hAnsi="Courier New"/>
          <w:sz w:val="19"/>
          <w:szCs w:val="19"/>
        </w:rPr>
        <w:t xml:space="preserve">SESSION_CONFIG</w:t>
      </w:r>
      <w:r>
        <w:t xml:space="preserve">. O jogo não escolhe alvos: ele recebe a lista de alvos e estímulos da sessão e devolve o que aconteceu com cada 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67085" w:sz="12"/>
              <w:bottom w:val="none" w:color="FFFFFF" w:sz="0"/>
              <w:right w:val="none" w:color="FFFFFF" w:sz="0"/>
            </w:tcBorders>
            <w:shd w:fill="F2F4F7" w:color="auto" w:val="clear"/>
            <w:tcMar>
              <w:top w:type="dxa" w:w="100"/>
              <w:left w:type="dxa" w:w="160"/>
              <w:bottom w:type="dxa" w:w="100"/>
              <w:right w:type="dxa" w:w="120"/>
            </w:tcMar>
          </w:tcPr>
          <w:p>
            <w:pPr>
              <w:spacing w:after="0" w:line="240"/>
            </w:pPr>
            <w:r>
              <w:rPr>
                <w:rFonts w:ascii="Courier New" w:cs="Courier New" w:eastAsia="Courier New" w:hAnsi="Courier New"/>
                <w:color w:val="1D2939"/>
                <w:sz w:val="16"/>
                <w:szCs w:val="16"/>
              </w:rPr>
              <w:t xml:space="preserve">// SESSION_CONFIG (hospedeiro -&gt; jogo), campos novos</w:t>
            </w:r>
          </w:p>
          <w:p>
            <w:pPr>
              <w:spacing w:after="0" w:line="240"/>
            </w:pPr>
            <w:r>
              <w:rPr>
                <w:rFonts w:ascii="Courier New" w:cs="Courier New" w:eastAsia="Courier New" w:hAnsi="Courier New"/>
                <w:color w:val="1D2939"/>
                <w:sz w:val="16"/>
                <w:szCs w:val="16"/>
              </w:rPr>
              <w:t xml:space="preserve">{</w:t>
            </w:r>
          </w:p>
          <w:p>
            <w:pPr>
              <w:spacing w:after="0" w:line="240"/>
            </w:pPr>
            <w:r>
              <w:rPr>
                <w:rFonts w:ascii="Courier New" w:cs="Courier New" w:eastAsia="Courier New" w:hAnsi="Courier New"/>
                <w:color w:val="1D2939"/>
                <w:sz w:val="16"/>
                <w:szCs w:val="16"/>
              </w:rPr>
              <w:t xml:space="preserve">  "protocolVersion": "2.0.0",</w:t>
            </w:r>
          </w:p>
          <w:p>
            <w:pPr>
              <w:spacing w:after="0" w:line="240"/>
            </w:pPr>
            <w:r>
              <w:rPr>
                <w:rFonts w:ascii="Courier New" w:cs="Courier New" w:eastAsia="Courier New" w:hAnsi="Courier New"/>
                <w:color w:val="1D2939"/>
                <w:sz w:val="16"/>
                <w:szCs w:val="16"/>
              </w:rPr>
              <w:t xml:space="preserve">  "runId": "run_8f2…",</w:t>
            </w:r>
          </w:p>
          <w:p>
            <w:pPr>
              <w:spacing w:after="0" w:line="240"/>
            </w:pPr>
            <w:r>
              <w:rPr>
                <w:rFonts w:ascii="Courier New" w:cs="Courier New" w:eastAsia="Courier New" w:hAnsi="Courier New"/>
                <w:color w:val="1D2939"/>
                <w:sz w:val="16"/>
                <w:szCs w:val="16"/>
              </w:rPr>
              <w:t xml:space="preserve">  "clinical": {</w:t>
            </w:r>
          </w:p>
          <w:p>
            <w:pPr>
              <w:spacing w:after="0" w:line="240"/>
            </w:pPr>
            <w:r>
              <w:rPr>
                <w:rFonts w:ascii="Courier New" w:cs="Courier New" w:eastAsia="Courier New" w:hAnsi="Courier New"/>
                <w:color w:val="1D2939"/>
                <w:sz w:val="16"/>
                <w:szCs w:val="16"/>
              </w:rPr>
              <w:t xml:space="preserve">    "model": "ABA",</w:t>
            </w:r>
          </w:p>
          <w:p>
            <w:pPr>
              <w:spacing w:after="0" w:line="240"/>
            </w:pPr>
            <w:r>
              <w:rPr>
                <w:rFonts w:ascii="Courier New" w:cs="Courier New" w:eastAsia="Courier New" w:hAnsi="Courier New"/>
                <w:color w:val="1D2939"/>
                <w:sz w:val="16"/>
                <w:szCs w:val="16"/>
              </w:rPr>
              <w:t xml:space="preserve">    "targets": [</w:t>
            </w:r>
          </w:p>
          <w:p>
            <w:pPr>
              <w:spacing w:after="0" w:line="240"/>
            </w:pPr>
            <w:r>
              <w:rPr>
                <w:rFonts w:ascii="Courier New" w:cs="Courier New" w:eastAsia="Courier New" w:hAnsi="Courier New"/>
                <w:color w:val="1D2939"/>
                <w:sz w:val="16"/>
                <w:szCs w:val="16"/>
              </w:rPr>
              <w:t xml:space="preserve">      { "targetId": "tgt_41a…", "phase": "acquisition",</w:t>
            </w:r>
          </w:p>
          <w:p>
            <w:pPr>
              <w:spacing w:after="0" w:line="240"/>
            </w:pPr>
            <w:r>
              <w:rPr>
                <w:rFonts w:ascii="Courier New" w:cs="Courier New" w:eastAsia="Courier New" w:hAnsi="Courier New"/>
                <w:color w:val="1D2939"/>
                <w:sz w:val="16"/>
                <w:szCs w:val="16"/>
              </w:rPr>
              <w:t xml:space="preserve">        "repertoire": "listener", "fieldSize": 3,</w:t>
            </w:r>
          </w:p>
          <w:p>
            <w:pPr>
              <w:spacing w:after="0" w:line="240"/>
            </w:pPr>
            <w:r>
              <w:rPr>
                <w:rFonts w:ascii="Courier New" w:cs="Courier New" w:eastAsia="Courier New" w:hAnsi="Courier New"/>
                <w:color w:val="1D2939"/>
                <w:sz w:val="16"/>
                <w:szCs w:val="16"/>
              </w:rPr>
              <w:t xml:space="preserve">        "stimuli": [ { "stimulusId": "stm_09…", "label": "bola", "mediaUrl": "…" } ],</w:t>
            </w:r>
          </w:p>
          <w:p>
            <w:pPr>
              <w:spacing w:after="0" w:line="240"/>
            </w:pPr>
            <w:r>
              <w:rPr>
                <w:rFonts w:ascii="Courier New" w:cs="Courier New" w:eastAsia="Courier New" w:hAnsi="Courier New"/>
                <w:color w:val="1D2939"/>
                <w:sz w:val="16"/>
                <w:szCs w:val="16"/>
              </w:rPr>
              <w:t xml:space="preserve">        "promptHierarchy": ["IND","GES","MOD","FP","FT"],</w:t>
            </w:r>
          </w:p>
          <w:p>
            <w:pPr>
              <w:spacing w:after="0" w:line="240"/>
            </w:pPr>
            <w:r>
              <w:rPr>
                <w:rFonts w:ascii="Courier New" w:cs="Courier New" w:eastAsia="Courier New" w:hAnsi="Courier New"/>
                <w:color w:val="1D2939"/>
                <w:sz w:val="16"/>
                <w:szCs w:val="16"/>
              </w:rPr>
              <w:t xml:space="preserve">        "scoring": "auto" }</w:t>
            </w:r>
          </w:p>
          <w:p>
            <w:pPr>
              <w:spacing w:after="0" w:line="240"/>
            </w:pPr>
            <w:r>
              <w:rPr>
                <w:rFonts w:ascii="Courier New" w:cs="Courier New" w:eastAsia="Courier New" w:hAnsi="Courier New"/>
                <w:color w:val="1D2939"/>
                <w:sz w:val="16"/>
                <w:szCs w:val="16"/>
              </w:rPr>
              <w:t xml:space="preserve">    ],</w:t>
            </w:r>
          </w:p>
          <w:p>
            <w:pPr>
              <w:spacing w:after="0" w:line="240"/>
            </w:pPr>
            <w:r>
              <w:rPr>
                <w:rFonts w:ascii="Courier New" w:cs="Courier New" w:eastAsia="Courier New" w:hAnsi="Courier New"/>
                <w:color w:val="1D2939"/>
                <w:sz w:val="16"/>
                <w:szCs w:val="16"/>
              </w:rPr>
              <w:t xml:space="preserve">    "trialsPerTarget": 5, "interleave": true, "seed": 91823</w:t>
            </w:r>
          </w:p>
          <w:p>
            <w:pPr>
              <w:spacing w:after="0" w:line="240"/>
            </w:pPr>
            <w:r>
              <w:rPr>
                <w:rFonts w:ascii="Courier New" w:cs="Courier New" w:eastAsia="Courier New" w:hAnsi="Courier New"/>
                <w:color w:val="1D2939"/>
                <w:sz w:val="16"/>
                <w:szCs w:val="16"/>
              </w:rPr>
              <w:t xml:space="preserve">  },</w:t>
            </w:r>
          </w:p>
          <w:p>
            <w:pPr>
              <w:spacing w:after="0" w:line="240"/>
            </w:pPr>
            <w:r>
              <w:rPr>
                <w:rFonts w:ascii="Courier New" w:cs="Courier New" w:eastAsia="Courier New" w:hAnsi="Courier New"/>
                <w:color w:val="1D2939"/>
                <w:sz w:val="16"/>
                <w:szCs w:val="16"/>
              </w:rPr>
              <w:t xml:space="preserve">  "adaptation": { "reducedMotion": true, "sound": "low", "maxChoices": 3, "screenBudgetSec": 600 }</w:t>
            </w:r>
          </w:p>
          <w:p>
            <w:pPr>
              <w:spacing w:after="0" w:line="240"/>
            </w:pPr>
            <w:r>
              <w:rPr>
                <w:rFonts w:ascii="Courier New" w:cs="Courier New" w:eastAsia="Courier New" w:hAnsi="Courier New"/>
                <w:color w:val="1D2939"/>
                <w:sz w:val="16"/>
                <w:szCs w:val="16"/>
              </w:rPr>
              <w:t xml:space="preserve">}</w:t>
            </w:r>
          </w:p>
          <w:p>
            <w:pPr>
              <w:spacing w:after="0" w:line="240"/>
            </w:pPr>
            <w:r>
              <w:rPr>
                <w:rFonts w:ascii="Courier New" w:cs="Courier New" w:eastAsia="Courier New" w:hAnsi="Courier New"/>
                <w:color w:val="1D2939"/>
                <w:sz w:val="16"/>
                <w:szCs w:val="16"/>
              </w:rPr>
              <w:t xml:space="preserve"> </w:t>
            </w:r>
          </w:p>
          <w:p>
            <w:pPr>
              <w:spacing w:after="0" w:line="240"/>
            </w:pPr>
            <w:r>
              <w:rPr>
                <w:rFonts w:ascii="Courier New" w:cs="Courier New" w:eastAsia="Courier New" w:hAnsi="Courier New"/>
                <w:color w:val="1D2939"/>
                <w:sz w:val="16"/>
                <w:szCs w:val="16"/>
              </w:rPr>
              <w:t xml:space="preserve">// TRIAL_COMPLETED (jogo -&gt; hospedeiro)</w:t>
            </w:r>
          </w:p>
          <w:p>
            <w:pPr>
              <w:spacing w:after="0" w:line="240"/>
            </w:pPr>
            <w:r>
              <w:rPr>
                <w:rFonts w:ascii="Courier New" w:cs="Courier New" w:eastAsia="Courier New" w:hAnsi="Courier New"/>
                <w:color w:val="1D2939"/>
                <w:sz w:val="16"/>
                <w:szCs w:val="16"/>
              </w:rPr>
              <w:t xml:space="preserve">{</w:t>
            </w:r>
          </w:p>
          <w:p>
            <w:pPr>
              <w:spacing w:after="0" w:line="240"/>
            </w:pPr>
            <w:r>
              <w:rPr>
                <w:rFonts w:ascii="Courier New" w:cs="Courier New" w:eastAsia="Courier New" w:hAnsi="Courier New"/>
                <w:color w:val="1D2939"/>
                <w:sz w:val="16"/>
                <w:szCs w:val="16"/>
              </w:rPr>
              <w:t xml:space="preserve">  "eventId": "evt_…", "sequence": 14, "protocolVersion": "2.0.0", "runId": "run_8f2…",</w:t>
            </w:r>
          </w:p>
          <w:p>
            <w:pPr>
              <w:spacing w:after="0" w:line="240"/>
            </w:pPr>
            <w:r>
              <w:rPr>
                <w:rFonts w:ascii="Courier New" w:cs="Courier New" w:eastAsia="Courier New" w:hAnsi="Courier New"/>
                <w:color w:val="1D2939"/>
                <w:sz w:val="16"/>
                <w:szCs w:val="16"/>
              </w:rPr>
              <w:t xml:space="preserve">  "type": "TRIAL_COMPLETED", "occurredAt": "2026-10-04T14:03:22.418Z",</w:t>
            </w:r>
          </w:p>
          <w:p>
            <w:pPr>
              <w:spacing w:after="0" w:line="240"/>
            </w:pPr>
            <w:r>
              <w:rPr>
                <w:rFonts w:ascii="Courier New" w:cs="Courier New" w:eastAsia="Courier New" w:hAnsi="Courier New"/>
                <w:color w:val="1D2939"/>
                <w:sz w:val="16"/>
                <w:szCs w:val="16"/>
              </w:rPr>
              <w:t xml:space="preserve">  "schemaVersion": "listener-selection@1",</w:t>
            </w:r>
          </w:p>
          <w:p>
            <w:pPr>
              <w:spacing w:after="0" w:line="240"/>
            </w:pPr>
            <w:r>
              <w:rPr>
                <w:rFonts w:ascii="Courier New" w:cs="Courier New" w:eastAsia="Courier New" w:hAnsi="Courier New"/>
                <w:color w:val="1D2939"/>
                <w:sz w:val="16"/>
                <w:szCs w:val="16"/>
              </w:rPr>
              <w:t xml:space="preserve">  "payload": {</w:t>
            </w:r>
          </w:p>
          <w:p>
            <w:pPr>
              <w:spacing w:after="0" w:line="240"/>
            </w:pPr>
            <w:r>
              <w:rPr>
                <w:rFonts w:ascii="Courier New" w:cs="Courier New" w:eastAsia="Courier New" w:hAnsi="Courier New"/>
                <w:color w:val="1D2939"/>
                <w:sz w:val="16"/>
                <w:szCs w:val="16"/>
              </w:rPr>
              <w:t xml:space="preserve">    "targetId": "tgt_41a…", "stimulusId": "stm_09…", "trialIndex": 3,</w:t>
            </w:r>
          </w:p>
          <w:p>
            <w:pPr>
              <w:spacing w:after="0" w:line="240"/>
            </w:pPr>
            <w:r>
              <w:rPr>
                <w:rFonts w:ascii="Courier New" w:cs="Courier New" w:eastAsia="Courier New" w:hAnsi="Courier New"/>
                <w:color w:val="1D2939"/>
                <w:sz w:val="16"/>
                <w:szCs w:val="16"/>
              </w:rPr>
              <w:t xml:space="preserve">    "presented": ["stm_09…", "stm_12…", "stm_33…"], "positionOfTarget": 2,</w:t>
            </w:r>
          </w:p>
          <w:p>
            <w:pPr>
              <w:spacing w:after="0" w:line="240"/>
            </w:pPr>
            <w:r>
              <w:rPr>
                <w:rFonts w:ascii="Courier New" w:cs="Courier New" w:eastAsia="Courier New" w:hAnsi="Courier New"/>
                <w:color w:val="1D2939"/>
                <w:sz w:val="16"/>
                <w:szCs w:val="16"/>
              </w:rPr>
              <w:t xml:space="preserve">    "selected": "stm_09…", "response": "correct",</w:t>
            </w:r>
          </w:p>
          <w:p>
            <w:pPr>
              <w:spacing w:after="0" w:line="240"/>
            </w:pPr>
            <w:r>
              <w:rPr>
                <w:rFonts w:ascii="Courier New" w:cs="Courier New" w:eastAsia="Courier New" w:hAnsi="Courier New"/>
                <w:color w:val="1D2939"/>
                <w:sz w:val="16"/>
                <w:szCs w:val="16"/>
              </w:rPr>
              <w:t xml:space="preserve">    "latencyMs": 2140, "promptLevel": "IND", "promptSource": "therapist"</w:t>
            </w:r>
          </w:p>
          <w:p>
            <w:pPr>
              <w:spacing w:after="0" w:line="240"/>
            </w:pPr>
            <w:r>
              <w:rPr>
                <w:rFonts w:ascii="Courier New" w:cs="Courier New" w:eastAsia="Courier New" w:hAnsi="Courier New"/>
                <w:color w:val="1D2939"/>
                <w:sz w:val="16"/>
                <w:szCs w:val="16"/>
              </w:rPr>
              <w:t xml:space="preserve">  }</w:t>
            </w:r>
          </w:p>
          <w:p>
            <w:pPr>
              <w:spacing w:after="0" w:line="240"/>
            </w:pPr>
            <w:r>
              <w:rPr>
                <w:rFonts w:ascii="Courier New" w:cs="Courier New" w:eastAsia="Courier New" w:hAnsi="Courier New"/>
                <w:color w:val="1D2939"/>
                <w:sz w:val="16"/>
                <w:szCs w:val="16"/>
              </w:rPr>
              <w:t xml:space="preserve">}</w:t>
            </w:r>
          </w:p>
        </w:tc>
      </w:tr>
    </w:tbl>
    <w:p>
      <w:pPr>
        <w:spacing w:after="120"/>
      </w:pPr>
    </w:p>
    <w:p>
      <w:pPr>
        <w:spacing w:after="140" w:before="0" w:line="300"/>
        <w:jc w:val="left"/>
      </w:pPr>
      <w:r>
        <w:t xml:space="preserve">Três decisões de desenho merecem nota. O campo </w:t>
      </w:r>
      <w:r>
        <w:rPr>
          <w:rFonts w:ascii="Courier New" w:cs="Courier New" w:eastAsia="Courier New" w:hAnsi="Courier New"/>
          <w:sz w:val="19"/>
          <w:szCs w:val="19"/>
        </w:rPr>
        <w:t xml:space="preserve">promptSource</w:t>
      </w:r>
      <w:r>
        <w:t xml:space="preserve"> distingue dica dada pelo profissional (registrada no dispositivo pareado ou na barra protegida) de dica embutida no jogo (por exemplo, a figura correta piscando após cinco segundos), porque as duas têm significados diferentes na análise de dependência de dica. O campo </w:t>
      </w:r>
      <w:r>
        <w:rPr>
          <w:rFonts w:ascii="Courier New" w:cs="Courier New" w:eastAsia="Courier New" w:hAnsi="Courier New"/>
          <w:sz w:val="19"/>
          <w:szCs w:val="19"/>
        </w:rPr>
        <w:t xml:space="preserve">presented</w:t>
      </w:r>
      <w:r>
        <w:t xml:space="preserve"> com a posição do alvo permite detectar viés de posição, um erro frequente em tarefas de seleção. E o campo </w:t>
      </w:r>
      <w:r>
        <w:rPr>
          <w:rFonts w:ascii="Courier New" w:cs="Courier New" w:eastAsia="Courier New" w:hAnsi="Courier New"/>
          <w:sz w:val="19"/>
          <w:szCs w:val="19"/>
        </w:rPr>
        <w:t xml:space="preserve">scoring</w:t>
      </w:r>
      <w:r>
        <w:t xml:space="preserve"> no alvo informa ao jogo se ele deve pontuar sozinho (</w:t>
      </w:r>
      <w:r>
        <w:rPr>
          <w:rFonts w:ascii="Courier New" w:cs="Courier New" w:eastAsia="Courier New" w:hAnsi="Courier New"/>
          <w:sz w:val="19"/>
          <w:szCs w:val="19"/>
        </w:rPr>
        <w:t xml:space="preserve">auto</w:t>
      </w:r>
      <w:r>
        <w:t xml:space="preserve">) ou apenas apresentar o estímulo e aguardar a pontuação do profissional (</w:t>
      </w:r>
      <w:r>
        <w:rPr>
          <w:rFonts w:ascii="Courier New" w:cs="Courier New" w:eastAsia="Courier New" w:hAnsi="Courier New"/>
          <w:sz w:val="19"/>
          <w:szCs w:val="19"/>
        </w:rPr>
        <w:t xml:space="preserve">therapist</w:t>
      </w:r>
      <w:r>
        <w:t xml:space="preserve">), necessário para tato, mando vocal e imitação.</w:t>
      </w:r>
    </w:p>
    <w:p>
      <w:pPr>
        <w:pStyle w:val="Heading2"/>
        <w:keepNext/>
      </w:pPr>
      <w:r>
        <w:t xml:space="preserve">8.3 Ingestão e validação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82"/>
        <w:gridCol w:w="7356"/>
      </w:tblGrid>
      <w:tr>
        <w:trPr>
          <w:tblHeader/>
        </w:trPr>
        <w:tc>
          <w:tcPr>
            <w:tcW w:type="dxa" w:w="2282"/>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Etapa</w:t>
            </w:r>
          </w:p>
        </w:tc>
        <w:tc>
          <w:tcPr>
            <w:tcW w:type="dxa" w:w="7356"/>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Especificação</w:t>
            </w:r>
          </w:p>
        </w:tc>
      </w:tr>
      <w:tr>
        <w:trPr>
          <w:cantSplit/>
        </w:trPr>
        <w:tc>
          <w:tcPr>
            <w:tcW w:type="dxa" w:w="228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Outbox única no dispositivo</w:t>
            </w:r>
          </w:p>
        </w:tc>
        <w:tc>
          <w:tcPr>
            <w:tcW w:type="dxa" w:w="735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Todos os produtores (jogo, tela de registro, portal da família) gravam numa única fila IndexedDB cifrada, com chave derivada da sessão. O SDK do jogo deixa de manter fila própria: ele entrega o evento ao hospedeiro, que o grava na outbox e só então confirma ao jogo (</w:t>
            </w:r>
            <w:r>
              <w:rPr>
                <w:rFonts w:ascii="Courier New" w:cs="Courier New" w:eastAsia="Courier New" w:hAnsi="Courier New"/>
                <w:b w:val="false"/>
                <w:bCs w:val="false"/>
                <w:sz w:val="18"/>
                <w:szCs w:val="18"/>
              </w:rPr>
              <w:t xml:space="preserve">EVENT_ACK</w:t>
            </w:r>
            <w:r>
              <w:rPr>
                <w:b w:val="false"/>
                <w:bCs w:val="false"/>
                <w:sz w:val="18"/>
                <w:szCs w:val="18"/>
              </w:rPr>
              <w:t xml:space="preserve">). Isso elimina a lacuna L3.</w:t>
            </w:r>
          </w:p>
        </w:tc>
      </w:tr>
      <w:tr>
        <w:trPr>
          <w:cantSplit/>
        </w:trPr>
        <w:tc>
          <w:tcPr>
            <w:tcW w:type="dxa" w:w="228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Envio</w:t>
            </w:r>
          </w:p>
        </w:tc>
        <w:tc>
          <w:tcPr>
            <w:tcW w:type="dxa" w:w="735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Lotes de até 200 registros, com repetição exponencial em falha. Cada registro só sai da outbox após confirmação do servidor com seu </w:t>
            </w:r>
            <w:r>
              <w:rPr>
                <w:rFonts w:ascii="Courier New" w:cs="Courier New" w:eastAsia="Courier New" w:hAnsi="Courier New"/>
                <w:b w:val="false"/>
                <w:bCs w:val="false"/>
                <w:sz w:val="18"/>
                <w:szCs w:val="18"/>
              </w:rPr>
              <w:t xml:space="preserve">client_event_id</w:t>
            </w:r>
            <w:r>
              <w:rPr>
                <w:b w:val="false"/>
                <w:bCs w:val="false"/>
                <w:sz w:val="18"/>
                <w:szCs w:val="18"/>
              </w:rPr>
              <w:t xml:space="preserve">. Ao abrir o app, a outbox pendente é drenada antes de qualquer nova sessão.</w:t>
            </w:r>
          </w:p>
        </w:tc>
      </w:tr>
      <w:tr>
        <w:trPr>
          <w:cantSplit/>
        </w:trPr>
        <w:tc>
          <w:tcPr>
            <w:tcW w:type="dxa" w:w="228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Idempotência</w:t>
            </w:r>
          </w:p>
        </w:tc>
        <w:tc>
          <w:tcPr>
            <w:tcW w:type="dxa" w:w="735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Chave única por </w:t>
            </w:r>
            <w:r>
              <w:rPr>
                <w:rFonts w:ascii="Courier New" w:cs="Courier New" w:eastAsia="Courier New" w:hAnsi="Courier New"/>
                <w:b w:val="false"/>
                <w:bCs w:val="false"/>
                <w:sz w:val="18"/>
                <w:szCs w:val="18"/>
              </w:rPr>
              <w:t xml:space="preserve">(session_id, client_event_id)</w:t>
            </w:r>
            <w:r>
              <w:rPr>
                <w:b w:val="false"/>
                <w:bCs w:val="false"/>
                <w:sz w:val="18"/>
                <w:szCs w:val="18"/>
              </w:rPr>
              <w:t xml:space="preserve"> nos registros de mesa e por </w:t>
            </w:r>
            <w:r>
              <w:rPr>
                <w:rFonts w:ascii="Courier New" w:cs="Courier New" w:eastAsia="Courier New" w:hAnsi="Courier New"/>
                <w:b w:val="false"/>
                <w:bCs w:val="false"/>
                <w:sz w:val="18"/>
                <w:szCs w:val="18"/>
              </w:rPr>
              <w:t xml:space="preserve">(activity_run_id, event_id)</w:t>
            </w:r>
            <w:r>
              <w:rPr>
                <w:b w:val="false"/>
                <w:bCs w:val="false"/>
                <w:sz w:val="18"/>
                <w:szCs w:val="18"/>
              </w:rPr>
              <w:t xml:space="preserve"> nos eventos digitais (padrão herdado da base), com </w:t>
            </w:r>
            <w:r>
              <w:rPr>
                <w:rFonts w:ascii="Courier New" w:cs="Courier New" w:eastAsia="Courier New" w:hAnsi="Courier New"/>
                <w:b w:val="false"/>
                <w:bCs w:val="false"/>
                <w:sz w:val="18"/>
                <w:szCs w:val="18"/>
              </w:rPr>
              <w:t xml:space="preserve">on conflict do nothing</w:t>
            </w:r>
            <w:r>
              <w:rPr>
                <w:b w:val="false"/>
                <w:bCs w:val="false"/>
                <w:sz w:val="18"/>
                <w:szCs w:val="18"/>
              </w:rPr>
              <w:t xml:space="preserve">.</w:t>
            </w:r>
          </w:p>
        </w:tc>
      </w:tr>
      <w:tr>
        <w:trPr>
          <w:cantSplit/>
        </w:trPr>
        <w:tc>
          <w:tcPr>
            <w:tcW w:type="dxa" w:w="228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Registro de esquemas</w:t>
            </w:r>
          </w:p>
        </w:tc>
        <w:tc>
          <w:tcPr>
            <w:tcW w:type="dxa" w:w="735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Tabela </w:t>
            </w:r>
            <w:r>
              <w:rPr>
                <w:rFonts w:ascii="Courier New" w:cs="Courier New" w:eastAsia="Courier New" w:hAnsi="Courier New"/>
                <w:b w:val="false"/>
                <w:bCs w:val="false"/>
                <w:sz w:val="18"/>
                <w:szCs w:val="18"/>
              </w:rPr>
              <w:t xml:space="preserve">event_schemas</w:t>
            </w:r>
            <w:r>
              <w:rPr>
                <w:b w:val="false"/>
                <w:bCs w:val="false"/>
                <w:sz w:val="18"/>
                <w:szCs w:val="18"/>
              </w:rPr>
              <w:t xml:space="preserve"> com </w:t>
            </w:r>
            <w:r>
              <w:rPr>
                <w:rFonts w:ascii="Courier New" w:cs="Courier New" w:eastAsia="Courier New" w:hAnsi="Courier New"/>
                <w:b w:val="false"/>
                <w:bCs w:val="false"/>
                <w:sz w:val="18"/>
                <w:szCs w:val="18"/>
              </w:rPr>
              <w:t xml:space="preserve">app_id</w:t>
            </w:r>
            <w:r>
              <w:rPr>
                <w:b w:val="false"/>
                <w:bCs w:val="false"/>
                <w:sz w:val="18"/>
                <w:szCs w:val="18"/>
              </w:rPr>
              <w:t xml:space="preserve">, </w:t>
            </w:r>
            <w:r>
              <w:rPr>
                <w:rFonts w:ascii="Courier New" w:cs="Courier New" w:eastAsia="Courier New" w:hAnsi="Courier New"/>
                <w:b w:val="false"/>
                <w:bCs w:val="false"/>
                <w:sz w:val="18"/>
                <w:szCs w:val="18"/>
              </w:rPr>
              <w:t xml:space="preserve">app_version</w:t>
            </w:r>
            <w:r>
              <w:rPr>
                <w:b w:val="false"/>
                <w:bCs w:val="false"/>
                <w:sz w:val="18"/>
                <w:szCs w:val="18"/>
              </w:rPr>
              <w:t xml:space="preserve">, </w:t>
            </w:r>
            <w:r>
              <w:rPr>
                <w:rFonts w:ascii="Courier New" w:cs="Courier New" w:eastAsia="Courier New" w:hAnsi="Courier New"/>
                <w:b w:val="false"/>
                <w:bCs w:val="false"/>
                <w:sz w:val="18"/>
                <w:szCs w:val="18"/>
              </w:rPr>
              <w:t xml:space="preserve">event_type</w:t>
            </w:r>
            <w:r>
              <w:rPr>
                <w:b w:val="false"/>
                <w:bCs w:val="false"/>
                <w:sz w:val="18"/>
                <w:szCs w:val="18"/>
              </w:rPr>
              <w:t xml:space="preserve">, </w:t>
            </w:r>
            <w:r>
              <w:rPr>
                <w:rFonts w:ascii="Courier New" w:cs="Courier New" w:eastAsia="Courier New" w:hAnsi="Courier New"/>
                <w:b w:val="false"/>
                <w:bCs w:val="false"/>
                <w:sz w:val="18"/>
                <w:szCs w:val="18"/>
              </w:rPr>
              <w:t xml:space="preserve">schema_version</w:t>
            </w:r>
            <w:r>
              <w:rPr>
                <w:b w:val="false"/>
                <w:bCs w:val="false"/>
                <w:sz w:val="18"/>
                <w:szCs w:val="18"/>
              </w:rPr>
              <w:t xml:space="preserve"> e o JSON Schema correspondente, publicado junto com o manifesto do jogo. A validação ocorre na função de ingestão.</w:t>
            </w:r>
          </w:p>
        </w:tc>
      </w:tr>
      <w:tr>
        <w:trPr>
          <w:cantSplit/>
        </w:trPr>
        <w:tc>
          <w:tcPr>
            <w:tcW w:type="dxa" w:w="228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Quarentena</w:t>
            </w:r>
          </w:p>
        </w:tc>
        <w:tc>
          <w:tcPr>
            <w:tcW w:type="dxa" w:w="735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Evento que falha na validação vai para </w:t>
            </w:r>
            <w:r>
              <w:rPr>
                <w:rFonts w:ascii="Courier New" w:cs="Courier New" w:eastAsia="Courier New" w:hAnsi="Courier New"/>
                <w:b w:val="false"/>
                <w:bCs w:val="false"/>
                <w:sz w:val="18"/>
                <w:szCs w:val="18"/>
              </w:rPr>
              <w:t xml:space="preserve">event_quarantine</w:t>
            </w:r>
            <w:r>
              <w:rPr>
                <w:b w:val="false"/>
                <w:bCs w:val="false"/>
                <w:sz w:val="18"/>
                <w:szCs w:val="18"/>
              </w:rPr>
              <w:t xml:space="preserve"> com o motivo, e não para os registros clínicos. O painel técnico mostra a taxa de quarentena por jogo e versão; acima de 1% bloqueia a publicação de nova versão do jogo.</w:t>
            </w:r>
          </w:p>
        </w:tc>
      </w:tr>
      <w:tr>
        <w:trPr>
          <w:cantSplit/>
        </w:trPr>
        <w:tc>
          <w:tcPr>
            <w:tcW w:type="dxa" w:w="228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Relógio</w:t>
            </w:r>
          </w:p>
        </w:tc>
        <w:tc>
          <w:tcPr>
            <w:tcW w:type="dxa" w:w="735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Ordenação por </w:t>
            </w:r>
            <w:r>
              <w:rPr>
                <w:rFonts w:ascii="Courier New" w:cs="Courier New" w:eastAsia="Courier New" w:hAnsi="Courier New"/>
                <w:b w:val="false"/>
                <w:bCs w:val="false"/>
                <w:sz w:val="18"/>
                <w:szCs w:val="18"/>
              </w:rPr>
              <w:t xml:space="preserve">occurredAt</w:t>
            </w:r>
            <w:r>
              <w:rPr>
                <w:b w:val="false"/>
                <w:bCs w:val="false"/>
                <w:sz w:val="18"/>
                <w:szCs w:val="18"/>
              </w:rPr>
              <w:t xml:space="preserve"> do dispositivo com </w:t>
            </w:r>
            <w:r>
              <w:rPr>
                <w:rFonts w:ascii="Courier New" w:cs="Courier New" w:eastAsia="Courier New" w:hAnsi="Courier New"/>
                <w:b w:val="false"/>
                <w:bCs w:val="false"/>
                <w:sz w:val="18"/>
                <w:szCs w:val="18"/>
              </w:rPr>
              <w:t xml:space="preserve">sequence</w:t>
            </w:r>
            <w:r>
              <w:rPr>
                <w:b w:val="false"/>
                <w:bCs w:val="false"/>
                <w:sz w:val="18"/>
                <w:szCs w:val="18"/>
              </w:rPr>
              <w:t xml:space="preserve"> como desempate, e registro do horário de recepção no servidor para detectar desvio de relógio.</w:t>
            </w:r>
          </w:p>
        </w:tc>
      </w:tr>
    </w:tbl>
    <w:p>
      <w:pPr>
        <w:spacing w:after="120"/>
      </w:pPr>
    </w:p>
    <w:p>
      <w:pPr>
        <w:pStyle w:val="Heading2"/>
        <w:keepNext/>
      </w:pPr>
      <w:r>
        <w:t xml:space="preserve">8.4 Projeções</w:t>
      </w:r>
    </w:p>
    <w:p>
      <w:pPr>
        <w:spacing w:after="140" w:before="0" w:line="300"/>
        <w:jc w:val="left"/>
      </w:pPr>
      <w:r>
        <w:t xml:space="preserve">As projeções são tabelas derivadas, atualizadas de forma incremental por gatilho ou por trabalhador assíncrono, e reconstruíveis por completo a partir dos registros brutos. Elas existem para que painéis e gráficos sejam rápidos, mesmo com anos de histórico.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82"/>
        <w:gridCol w:w="2282"/>
        <w:gridCol w:w="5074"/>
      </w:tblGrid>
      <w:tr>
        <w:trPr>
          <w:tblHeader/>
        </w:trPr>
        <w:tc>
          <w:tcPr>
            <w:tcW w:type="dxa" w:w="2282"/>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Projeção</w:t>
            </w:r>
          </w:p>
        </w:tc>
        <w:tc>
          <w:tcPr>
            <w:tcW w:type="dxa" w:w="2282"/>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Grão</w:t>
            </w:r>
          </w:p>
        </w:tc>
        <w:tc>
          <w:tcPr>
            <w:tcW w:type="dxa" w:w="5074"/>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Conteúdo</w:t>
            </w:r>
          </w:p>
        </w:tc>
      </w:tr>
      <w:tr>
        <w:trPr>
          <w:cantSplit/>
        </w:trPr>
        <w:tc>
          <w:tcPr>
            <w:tcW w:type="dxa" w:w="228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fact_trials</w:t>
            </w:r>
          </w:p>
        </w:tc>
        <w:tc>
          <w:tcPr>
            <w:tcW w:type="dxa" w:w="228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Uma linha por tentativa ou oportunidade, de qualquer canal</w:t>
            </w:r>
          </w:p>
        </w:tc>
        <w:tc>
          <w:tcPr>
            <w:tcW w:type="dxa" w:w="507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Alvo, fase, estímulo, resposta, nível de dica normalizado (0 a 1 pela intrusividade), latência, canal, contexto, aplicador, horário, sessão, reforçador em uso</w:t>
            </w:r>
          </w:p>
        </w:tc>
      </w:tr>
      <w:tr>
        <w:trPr>
          <w:cantSplit/>
        </w:trPr>
        <w:tc>
          <w:tcPr>
            <w:tcW w:type="dxa" w:w="228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fact_target_session</w:t>
            </w:r>
          </w:p>
        </w:tc>
        <w:tc>
          <w:tcPr>
            <w:tcW w:type="dxa" w:w="228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Alvo × sessão</w:t>
            </w:r>
          </w:p>
        </w:tc>
        <w:tc>
          <w:tcPr>
            <w:tcW w:type="dxa" w:w="5074"/>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Oportunidades, corretas independentes, corretas com dica, incorretas, sem resposta, percentual independente, nível médio de dica, latência mediana, canal predominante, aplicador, ambiente</w:t>
            </w:r>
          </w:p>
        </w:tc>
      </w:tr>
      <w:tr>
        <w:trPr>
          <w:cantSplit/>
        </w:trPr>
        <w:tc>
          <w:tcPr>
            <w:tcW w:type="dxa" w:w="228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fact_denver_step_session</w:t>
            </w:r>
          </w:p>
        </w:tc>
        <w:tc>
          <w:tcPr>
            <w:tcW w:type="dxa" w:w="228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Passo × sessão</w:t>
            </w:r>
          </w:p>
        </w:tc>
        <w:tc>
          <w:tcPr>
            <w:tcW w:type="dxa" w:w="507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Intervalos observados, intervalos com desempenho, proporção, rotinas em que foi trabalhado</w:t>
            </w:r>
          </w:p>
        </w:tc>
      </w:tr>
      <w:tr>
        <w:trPr>
          <w:cantSplit/>
        </w:trPr>
        <w:tc>
          <w:tcPr>
            <w:tcW w:type="dxa" w:w="228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fact_behavior_session</w:t>
            </w:r>
          </w:p>
        </w:tc>
        <w:tc>
          <w:tcPr>
            <w:tcW w:type="dxa" w:w="228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Comportamento × sessão</w:t>
            </w:r>
          </w:p>
        </w:tc>
        <w:tc>
          <w:tcPr>
            <w:tcW w:type="dxa" w:w="5074"/>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Medida definida (taxa, duração total, percentual de intervalos), contexto da sessão</w:t>
            </w:r>
          </w:p>
        </w:tc>
      </w:tr>
      <w:tr>
        <w:trPr>
          <w:cantSplit/>
        </w:trPr>
        <w:tc>
          <w:tcPr>
            <w:tcW w:type="dxa" w:w="228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target_status</w:t>
            </w:r>
          </w:p>
        </w:tc>
        <w:tc>
          <w:tcPr>
            <w:tcW w:type="dxa" w:w="228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Alvo</w:t>
            </w:r>
          </w:p>
        </w:tc>
        <w:tc>
          <w:tcPr>
            <w:tcW w:type="dxa" w:w="507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Fase atual, sessões na fase, progresso em relação ao critério, última sonda de manutenção, contextos de generalização atendidos, alertas ativos</w:t>
            </w:r>
          </w:p>
        </w:tc>
      </w:tr>
      <w:tr>
        <w:trPr>
          <w:cantSplit/>
        </w:trPr>
        <w:tc>
          <w:tcPr>
            <w:tcW w:type="dxa" w:w="228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screen_time_ledger</w:t>
            </w:r>
          </w:p>
        </w:tc>
        <w:tc>
          <w:tcPr>
            <w:tcW w:type="dxa" w:w="228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Criança × dia</w:t>
            </w:r>
          </w:p>
        </w:tc>
        <w:tc>
          <w:tcPr>
            <w:tcW w:type="dxa" w:w="5074"/>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Minutos de tela por finalidade (ensino, reforçador, regulação), limite aplicável, excedente</w:t>
            </w:r>
          </w:p>
        </w:tc>
      </w:tr>
    </w:tbl>
    <w:p>
      <w:pPr>
        <w:spacing w:after="120"/>
      </w:pPr>
    </w:p>
    <w:p>
      <w:pPr>
        <w:pStyle w:val="Heading2"/>
        <w:keepNext/>
      </w:pPr>
      <w:r>
        <w:t xml:space="preserve">8.5 Motor de regras de decisão</w:t>
      </w:r>
    </w:p>
    <w:p>
      <w:pPr>
        <w:spacing w:after="140" w:before="0" w:line="300"/>
        <w:jc w:val="left"/>
      </w:pPr>
      <w:r>
        <w:t xml:space="preserve">O motor avalia regras sobre as projeções após cada sessão sincronizada e gera alertas para o supervisor. Toda regra tem fundamento declarado, parâmetros configuráveis por organização e por alvo, e ação sugerida. </w:t>
      </w:r>
      <w:r>
        <w:rPr>
          <w:b/>
          <w:bCs/>
        </w:rPr>
        <w:t xml:space="preserve">Nenhuma regra executa mudança no plano</w:t>
      </w:r>
      <w:r>
        <w:t xml:space="preserve">: ela propõe, e o supervisor decide (P3).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2"/>
        <w:gridCol w:w="3297"/>
        <w:gridCol w:w="2282"/>
        <w:gridCol w:w="2157"/>
      </w:tblGrid>
      <w:tr>
        <w:trPr>
          <w:tblHeader/>
        </w:trPr>
        <w:tc>
          <w:tcPr>
            <w:tcW w:type="dxa" w:w="1902"/>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Regra</w:t>
            </w:r>
          </w:p>
        </w:tc>
        <w:tc>
          <w:tcPr>
            <w:tcW w:type="dxa" w:w="3297"/>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Condição (parâmetros padrão)</w:t>
            </w:r>
          </w:p>
        </w:tc>
        <w:tc>
          <w:tcPr>
            <w:tcW w:type="dxa" w:w="2282"/>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Fundamento</w:t>
            </w:r>
          </w:p>
        </w:tc>
        <w:tc>
          <w:tcPr>
            <w:tcW w:type="dxa" w:w="2157"/>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Ação sugerida</w:t>
            </w:r>
          </w:p>
        </w:tc>
      </w:tr>
      <w:tr>
        <w:trPr>
          <w:cantSplit/>
        </w:trPr>
        <w:tc>
          <w:tcPr>
            <w:tcW w:type="dxa" w:w="19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R1. Critério atingido</w:t>
            </w:r>
          </w:p>
        </w:tc>
        <w:tc>
          <w:tcPr>
            <w:tcW w:type="dxa" w:w="329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Atende ao </w:t>
            </w:r>
            <w:r>
              <w:rPr>
                <w:rFonts w:ascii="Courier New" w:cs="Courier New" w:eastAsia="Courier New" w:hAnsi="Courier New"/>
                <w:b w:val="false"/>
                <w:bCs w:val="false"/>
                <w:sz w:val="18"/>
                <w:szCs w:val="18"/>
              </w:rPr>
              <w:t xml:space="preserve">mastery_criteria</w:t>
            </w:r>
            <w:r>
              <w:rPr>
                <w:b w:val="false"/>
                <w:bCs w:val="false"/>
                <w:sz w:val="18"/>
                <w:szCs w:val="18"/>
              </w:rPr>
              <w:t xml:space="preserve"> do alvo: nível, número de sessões, consecutividade, mínimo de oportunidades, pessoas e ambientes</w:t>
            </w:r>
          </w:p>
        </w:tc>
        <w:tc>
          <w:tcPr>
            <w:tcW w:type="dxa" w:w="228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Critério de domínio com nível e frequência (Fuller e Fienup, 2018)</w:t>
            </w:r>
          </w:p>
        </w:tc>
        <w:tc>
          <w:tcPr>
            <w:tcW w:type="dxa" w:w="215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Confirmar domínio e iniciar manutenção e generalização</w:t>
            </w:r>
          </w:p>
        </w:tc>
      </w:tr>
      <w:tr>
        <w:trPr>
          <w:cantSplit/>
        </w:trPr>
        <w:tc>
          <w:tcPr>
            <w:tcW w:type="dxa" w:w="190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R2. Estagnação</w:t>
            </w:r>
          </w:p>
        </w:tc>
        <w:tc>
          <w:tcPr>
            <w:tcW w:type="dxa" w:w="329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Seis ou mais sessões em aquisição sem tendência ascendente no percentual independente (inclinação da regressão ≤ 0) e abaixo do critério</w:t>
            </w:r>
          </w:p>
        </w:tc>
        <w:tc>
          <w:tcPr>
            <w:tcW w:type="dxa" w:w="228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Decisão baseada em dados; mudança de procedimento quando o desempenho não progride</w:t>
            </w:r>
          </w:p>
        </w:tc>
        <w:tc>
          <w:tcPr>
            <w:tcW w:type="dxa" w:w="215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Revisar estímulos, procedimento de dica, reforçador ou pré-requisitos</w:t>
            </w:r>
          </w:p>
        </w:tc>
      </w:tr>
      <w:tr>
        <w:trPr>
          <w:cantSplit/>
        </w:trPr>
        <w:tc>
          <w:tcPr>
            <w:tcW w:type="dxa" w:w="19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R3. Dependência de dica</w:t>
            </w:r>
          </w:p>
        </w:tc>
        <w:tc>
          <w:tcPr>
            <w:tcW w:type="dxa" w:w="329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Percentual de corretas com dica ≥ 70% por quatro sessões, sem redução do nível médio de dica</w:t>
            </w:r>
          </w:p>
        </w:tc>
        <w:tc>
          <w:tcPr>
            <w:tcW w:type="dxa" w:w="228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Esvanecimento planejado desde o início</w:t>
            </w:r>
          </w:p>
        </w:tc>
        <w:tc>
          <w:tcPr>
            <w:tcW w:type="dxa" w:w="215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Ajustar o procedimento de esvanecimento (por exemplo, atraso progressivo)</w:t>
            </w:r>
          </w:p>
        </w:tc>
      </w:tr>
      <w:tr>
        <w:trPr>
          <w:cantSplit/>
        </w:trPr>
        <w:tc>
          <w:tcPr>
            <w:tcW w:type="dxa" w:w="190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R4. Sugestão de esvanecimento</w:t>
            </w:r>
          </w:p>
        </w:tc>
        <w:tc>
          <w:tcPr>
            <w:tcW w:type="dxa" w:w="329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Duas sessões consecutivas com ≥ 80% de corretas no nível de dica atual</w:t>
            </w:r>
          </w:p>
        </w:tc>
        <w:tc>
          <w:tcPr>
            <w:tcW w:type="dxa" w:w="228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Transferência de controle de estímulo</w:t>
            </w:r>
          </w:p>
        </w:tc>
        <w:tc>
          <w:tcPr>
            <w:tcW w:type="dxa" w:w="215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Reduzir o nível de dica padrão do alvo</w:t>
            </w:r>
          </w:p>
        </w:tc>
      </w:tr>
      <w:tr>
        <w:trPr>
          <w:cantSplit/>
        </w:trPr>
        <w:tc>
          <w:tcPr>
            <w:tcW w:type="dxa" w:w="19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R5. Regressão em manutenção</w:t>
            </w:r>
          </w:p>
        </w:tc>
        <w:tc>
          <w:tcPr>
            <w:tcW w:type="dxa" w:w="329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Sonda de manutenção abaixo de </w:t>
            </w:r>
            <w:r>
              <w:rPr>
                <w:rFonts w:ascii="Courier New" w:cs="Courier New" w:eastAsia="Courier New" w:hAnsi="Courier New"/>
                <w:b w:val="false"/>
                <w:bCs w:val="false"/>
                <w:sz w:val="18"/>
                <w:szCs w:val="18"/>
              </w:rPr>
              <w:t xml:space="preserve">maintenance_min_pct</w:t>
            </w:r>
          </w:p>
        </w:tc>
        <w:tc>
          <w:tcPr>
            <w:tcW w:type="dxa" w:w="228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Generalidade no tempo (Baer, Wolf e Risley, 1968)</w:t>
            </w:r>
          </w:p>
        </w:tc>
        <w:tc>
          <w:tcPr>
            <w:tcW w:type="dxa" w:w="215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Reabrir a aquisição com ensino de reforço</w:t>
            </w:r>
          </w:p>
        </w:tc>
      </w:tr>
      <w:tr>
        <w:trPr>
          <w:cantSplit/>
        </w:trPr>
        <w:tc>
          <w:tcPr>
            <w:tcW w:type="dxa" w:w="190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R6. Lacuna de generalização</w:t>
            </w:r>
          </w:p>
        </w:tc>
        <w:tc>
          <w:tcPr>
            <w:tcW w:type="dxa" w:w="329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Alvo dominado em canal digital sem nenhuma sonda fora da tela em 14 dias</w:t>
            </w:r>
          </w:p>
        </w:tc>
        <w:tc>
          <w:tcPr>
            <w:tcW w:type="dxa" w:w="228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Generalização não pode ser presumida (P8)</w:t>
            </w:r>
          </w:p>
        </w:tc>
        <w:tc>
          <w:tcPr>
            <w:tcW w:type="dxa" w:w="215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Programar sonda com material, pessoa ou ambiente diferente</w:t>
            </w:r>
          </w:p>
        </w:tc>
      </w:tr>
      <w:tr>
        <w:trPr>
          <w:cantSplit/>
        </w:trPr>
        <w:tc>
          <w:tcPr>
            <w:tcW w:type="dxa" w:w="19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R7. Discrepância entre canais</w:t>
            </w:r>
          </w:p>
        </w:tc>
        <w:tc>
          <w:tcPr>
            <w:tcW w:type="dxa" w:w="329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Diferença ≥ 30 pontos percentuais entre canal digital e de mesa no mesmo alvo nas últimas três sessões de cada</w:t>
            </w:r>
          </w:p>
        </w:tc>
        <w:tc>
          <w:tcPr>
            <w:tcW w:type="dxa" w:w="228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Controle de estímulo restrito ao formato do jogo</w:t>
            </w:r>
          </w:p>
        </w:tc>
        <w:tc>
          <w:tcPr>
            <w:tcW w:type="dxa" w:w="215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Investigar controle por características irrelevantes do jogo</w:t>
            </w:r>
          </w:p>
        </w:tc>
      </w:tr>
      <w:tr>
        <w:trPr>
          <w:cantSplit/>
        </w:trPr>
        <w:tc>
          <w:tcPr>
            <w:tcW w:type="dxa" w:w="190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R8. Viés de posição</w:t>
            </w:r>
          </w:p>
        </w:tc>
        <w:tc>
          <w:tcPr>
            <w:tcW w:type="dxa" w:w="329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Em tarefas de seleção, ≥ 60% das escolhas na mesma posição, independentemente da posição do alvo, em 20 tentativas</w:t>
            </w:r>
          </w:p>
        </w:tc>
        <w:tc>
          <w:tcPr>
            <w:tcW w:type="dxa" w:w="228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Controle por posição em vez de pelo estímulo</w:t>
            </w:r>
          </w:p>
        </w:tc>
        <w:tc>
          <w:tcPr>
            <w:tcW w:type="dxa" w:w="215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Revisar a aleatorização e a correção de erro</w:t>
            </w:r>
          </w:p>
        </w:tc>
      </w:tr>
      <w:tr>
        <w:trPr>
          <w:cantSplit/>
        </w:trPr>
        <w:tc>
          <w:tcPr>
            <w:tcW w:type="dxa" w:w="19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R9. Discrepância entre aplicadores</w:t>
            </w:r>
          </w:p>
        </w:tc>
        <w:tc>
          <w:tcPr>
            <w:tcW w:type="dxa" w:w="329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Diferença ≥ 25 pontos percentuais no mesmo alvo entre aplicadores, com ao menos três sessões de cada</w:t>
            </w:r>
          </w:p>
        </w:tc>
        <w:tc>
          <w:tcPr>
            <w:tcW w:type="dxa" w:w="228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Fidelidade de procedimento</w:t>
            </w:r>
          </w:p>
        </w:tc>
        <w:tc>
          <w:tcPr>
            <w:tcW w:type="dxa" w:w="215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Agendar observação de fidelidade</w:t>
            </w:r>
          </w:p>
        </w:tc>
      </w:tr>
      <w:tr>
        <w:trPr>
          <w:cantSplit/>
        </w:trPr>
        <w:tc>
          <w:tcPr>
            <w:tcW w:type="dxa" w:w="190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R10. Saciação</w:t>
            </w:r>
          </w:p>
        </w:tc>
        <w:tc>
          <w:tcPr>
            <w:tcW w:type="dxa" w:w="329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Queda ≥ 50% na taxa de escolha ou uso de um reforçador em três sessões</w:t>
            </w:r>
          </w:p>
        </w:tc>
        <w:tc>
          <w:tcPr>
            <w:tcW w:type="dxa" w:w="228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Operações motivadoras</w:t>
            </w:r>
          </w:p>
        </w:tc>
        <w:tc>
          <w:tcPr>
            <w:tcW w:type="dxa" w:w="215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Refazer avaliação de preferência; rodiziar itens</w:t>
            </w:r>
          </w:p>
        </w:tc>
      </w:tr>
      <w:tr>
        <w:trPr>
          <w:cantSplit/>
        </w:trPr>
        <w:tc>
          <w:tcPr>
            <w:tcW w:type="dxa" w:w="19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R11. Aumento de comportamento-problema</w:t>
            </w:r>
          </w:p>
        </w:tc>
        <w:tc>
          <w:tcPr>
            <w:tcW w:type="dxa" w:w="329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Medida da sessão acima da média mais dois desvios-padrão das dez sessões anteriores, ou episódio de risco</w:t>
            </w:r>
          </w:p>
        </w:tc>
        <w:tc>
          <w:tcPr>
            <w:tcW w:type="dxa" w:w="228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Monitoramento contínuo do plano de manejo</w:t>
            </w:r>
          </w:p>
        </w:tc>
        <w:tc>
          <w:tcPr>
            <w:tcW w:type="dxa" w:w="215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Revisar o plano de manejo; registrar no prontuário</w:t>
            </w:r>
          </w:p>
        </w:tc>
      </w:tr>
      <w:tr>
        <w:trPr>
          <w:cantSplit/>
        </w:trPr>
        <w:tc>
          <w:tcPr>
            <w:tcW w:type="dxa" w:w="190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R12. Oportunidades insuficientes</w:t>
            </w:r>
          </w:p>
        </w:tc>
        <w:tc>
          <w:tcPr>
            <w:tcW w:type="dxa" w:w="329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Alvo ativo com menos de 10 oportunidades na semana</w:t>
            </w:r>
          </w:p>
        </w:tc>
        <w:tc>
          <w:tcPr>
            <w:tcW w:type="dxa" w:w="228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Densidade de ensino</w:t>
            </w:r>
          </w:p>
        </w:tc>
        <w:tc>
          <w:tcPr>
            <w:tcW w:type="dxa" w:w="215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Redistribuir alvos na próxima sessão</w:t>
            </w:r>
          </w:p>
        </w:tc>
      </w:tr>
      <w:tr>
        <w:trPr>
          <w:cantSplit/>
        </w:trPr>
        <w:tc>
          <w:tcPr>
            <w:tcW w:type="dxa" w:w="19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R13. Excesso de tela</w:t>
            </w:r>
          </w:p>
        </w:tc>
        <w:tc>
          <w:tcPr>
            <w:tcW w:type="dxa" w:w="329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Minutos de tela do dia acima do limite da faixa etária</w:t>
            </w:r>
          </w:p>
        </w:tc>
        <w:tc>
          <w:tcPr>
            <w:tcW w:type="dxa" w:w="228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Recomendações da SBP (2024)</w:t>
            </w:r>
          </w:p>
        </w:tc>
        <w:tc>
          <w:tcPr>
            <w:tcW w:type="dxa" w:w="215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Bloquear atividade de tela adicional no dia, salvo liberação justificada</w:t>
            </w:r>
          </w:p>
        </w:tc>
      </w:tr>
      <w:tr>
        <w:trPr>
          <w:cantSplit/>
        </w:trPr>
        <w:tc>
          <w:tcPr>
            <w:tcW w:type="dxa" w:w="190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R14. Denver: passo estagnado</w:t>
            </w:r>
          </w:p>
        </w:tc>
        <w:tc>
          <w:tcPr>
            <w:tcW w:type="dxa" w:w="329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Passo em aquisição sem aumento da proporção de intervalos com desempenho em quatro sessões</w:t>
            </w:r>
          </w:p>
        </w:tc>
        <w:tc>
          <w:tcPr>
            <w:tcW w:type="dxa" w:w="228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Revisão do passo de aprendizagem</w:t>
            </w:r>
          </w:p>
        </w:tc>
        <w:tc>
          <w:tcPr>
            <w:tcW w:type="dxa" w:w="215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Dividir o passo ou revisar as rotinas em que é trabalhado</w:t>
            </w:r>
          </w:p>
        </w:tc>
      </w:tr>
      <w:tr>
        <w:trPr>
          <w:cantSplit/>
        </w:trPr>
        <w:tc>
          <w:tcPr>
            <w:tcW w:type="dxa" w:w="19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R15. Denver: ciclo vencendo</w:t>
            </w:r>
          </w:p>
        </w:tc>
        <w:tc>
          <w:tcPr>
            <w:tcW w:type="dxa" w:w="329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Faltam 14 dias para o fim do ciclo trimestral</w:t>
            </w:r>
          </w:p>
        </w:tc>
        <w:tc>
          <w:tcPr>
            <w:tcW w:type="dxa" w:w="228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Ciclo de revisão do currículo</w:t>
            </w:r>
          </w:p>
        </w:tc>
        <w:tc>
          <w:tcPr>
            <w:tcW w:type="dxa" w:w="215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Agendar reavaliação e planejamento do próximo ciclo</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5E63" w:sz="24"/>
              <w:bottom w:val="none" w:color="FFFFFF" w:sz="0"/>
              <w:right w:val="none" w:color="FFFFFF" w:sz="0"/>
            </w:tcBorders>
            <w:shd w:fill="E0F2F1" w:color="auto" w:val="clear"/>
            <w:tcMar>
              <w:top w:type="dxa" w:w="140"/>
              <w:left w:type="dxa" w:w="220"/>
              <w:bottom w:type="dxa" w:w="120"/>
              <w:right w:type="dxa" w:w="200"/>
            </w:tcMar>
          </w:tcPr>
          <w:p>
            <w:pPr>
              <w:spacing w:after="80"/>
            </w:pPr>
            <w:r>
              <w:rPr>
                <w:b/>
                <w:bCs/>
                <w:color w:val="1B5E63"/>
                <w:sz w:val="20"/>
                <w:szCs w:val="20"/>
              </w:rPr>
              <w:t xml:space="preserve">Mudança de fase confirmada pelo motor</w:t>
            </w:r>
          </w:p>
          <w:p>
            <w:pPr>
              <w:spacing w:after="70" w:line="280"/>
            </w:pPr>
            <w:r>
              <w:rPr>
                <w:sz w:val="19"/>
                <w:szCs w:val="19"/>
              </w:rPr>
              <w:t xml:space="preserve">Quando o supervisor aceita um alerta, a mudança é feita pela função de mudança de fase (Seção 7.4), que grava o identificador do alerta. Com o tempo, a organização acumula dados para responder perguntas como “com que frequência a regra R2 levou a uma mudança que funcionou?”, o que permite calibrar os parâmetros das regras com a própria prática.</w:t>
            </w:r>
          </w:p>
        </w:tc>
      </w:tr>
    </w:tbl>
    <w:p>
      <w:pPr>
        <w:spacing w:after="120"/>
      </w:pPr>
    </w:p>
    <w:p>
      <w:pPr>
        <w:pStyle w:val="Heading2"/>
        <w:keepNext/>
      </w:pPr>
      <w:r>
        <w:t xml:space="preserve">8.6 Análises cruzadas</w:t>
      </w:r>
    </w:p>
    <w:p>
      <w:pPr>
        <w:spacing w:after="140" w:before="0" w:line="300"/>
        <w:jc w:val="left"/>
      </w:pPr>
      <w:r>
        <w:t xml:space="preserve">Além das regras, o motor oferece análises exploratórias que cruzam dimensões. Elas aparecem para o supervisor como </w:t>
      </w:r>
      <w:r>
        <w:rPr>
          <w:b/>
          <w:bCs/>
        </w:rPr>
        <w:t xml:space="preserve">hipóteses a investigar</w:t>
      </w:r>
      <w:r>
        <w:t xml:space="preserve">, sempre com tamanho de amostra visível e sem linguagem causal.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36"/>
        <w:gridCol w:w="3550"/>
        <w:gridCol w:w="3552"/>
      </w:tblGrid>
      <w:tr>
        <w:trPr>
          <w:tblHeader/>
        </w:trPr>
        <w:tc>
          <w:tcPr>
            <w:tcW w:type="dxa" w:w="2536"/>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Cruzamento</w:t>
            </w:r>
          </w:p>
        </w:tc>
        <w:tc>
          <w:tcPr>
            <w:tcW w:type="dxa" w:w="3550"/>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Pergunta clínica</w:t>
            </w:r>
          </w:p>
        </w:tc>
        <w:tc>
          <w:tcPr>
            <w:tcW w:type="dxa" w:w="3552"/>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Apresentação</w:t>
            </w:r>
          </w:p>
        </w:tc>
      </w:tr>
      <w:tr>
        <w:trPr>
          <w:cantSplit/>
        </w:trPr>
        <w:tc>
          <w:tcPr>
            <w:tcW w:type="dxa" w:w="253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Comportamento × demanda × atividade</w:t>
            </w:r>
          </w:p>
        </w:tc>
        <w:tc>
          <w:tcPr>
            <w:tcW w:type="dxa" w:w="355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O comportamento ocorre mais quando há demanda? Em que atividades?</w:t>
            </w:r>
          </w:p>
        </w:tc>
        <w:tc>
          <w:tcPr>
            <w:tcW w:type="dxa" w:w="355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Gráfico de dispersão por horário e atividade; taxa com e sem demanda presente</w:t>
            </w:r>
          </w:p>
        </w:tc>
      </w:tr>
      <w:tr>
        <w:trPr>
          <w:cantSplit/>
        </w:trPr>
        <w:tc>
          <w:tcPr>
            <w:tcW w:type="dxa" w:w="253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Comportamento × aplicador × ambiente</w:t>
            </w:r>
          </w:p>
        </w:tc>
        <w:tc>
          <w:tcPr>
            <w:tcW w:type="dxa" w:w="3550"/>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Há diferença sistemática entre pessoas ou locais?</w:t>
            </w:r>
          </w:p>
        </w:tc>
        <w:tc>
          <w:tcPr>
            <w:tcW w:type="dxa" w:w="355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Comparação de médias com intervalos, alerta de amostra pequena</w:t>
            </w:r>
          </w:p>
        </w:tc>
      </w:tr>
      <w:tr>
        <w:trPr>
          <w:cantSplit/>
        </w:trPr>
        <w:tc>
          <w:tcPr>
            <w:tcW w:type="dxa" w:w="253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Desempenho × horário e duração da sessão</w:t>
            </w:r>
          </w:p>
        </w:tc>
        <w:tc>
          <w:tcPr>
            <w:tcW w:type="dxa" w:w="355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O desempenho cai no fim da sessão ou em determinado turno?</w:t>
            </w:r>
          </w:p>
        </w:tc>
        <w:tc>
          <w:tcPr>
            <w:tcW w:type="dxa" w:w="355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Curva de desempenho por posição da tentativa na sessão</w:t>
            </w:r>
          </w:p>
        </w:tc>
      </w:tr>
      <w:tr>
        <w:trPr>
          <w:cantSplit/>
        </w:trPr>
        <w:tc>
          <w:tcPr>
            <w:tcW w:type="dxa" w:w="253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Desempenho × reforçador em uso</w:t>
            </w:r>
          </w:p>
        </w:tc>
        <w:tc>
          <w:tcPr>
            <w:tcW w:type="dxa" w:w="3550"/>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Algum reforçador está associado a desempenho melhor?</w:t>
            </w:r>
          </w:p>
        </w:tc>
        <w:tc>
          <w:tcPr>
            <w:tcW w:type="dxa" w:w="355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Percentual independente por reforçador, com aviso de confusão com outras variáveis</w:t>
            </w:r>
          </w:p>
        </w:tc>
      </w:tr>
      <w:tr>
        <w:trPr>
          <w:cantSplit/>
        </w:trPr>
        <w:tc>
          <w:tcPr>
            <w:tcW w:type="dxa" w:w="253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Desempenho × tempo de tela do dia</w:t>
            </w:r>
          </w:p>
        </w:tc>
        <w:tc>
          <w:tcPr>
            <w:tcW w:type="dxa" w:w="355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Mais tempo de tela antes da sessão se associa a desempenho pior ou a mais comportamento-problema?</w:t>
            </w:r>
          </w:p>
        </w:tc>
        <w:tc>
          <w:tcPr>
            <w:tcW w:type="dxa" w:w="355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Dispersão por dia</w:t>
            </w:r>
          </w:p>
        </w:tc>
      </w:tr>
      <w:tr>
        <w:trPr>
          <w:cantSplit/>
        </w:trPr>
        <w:tc>
          <w:tcPr>
            <w:tcW w:type="dxa" w:w="253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Latência × fase</w:t>
            </w:r>
          </w:p>
        </w:tc>
        <w:tc>
          <w:tcPr>
            <w:tcW w:type="dxa" w:w="3550"/>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A latência diminui com o aprendizado?</w:t>
            </w:r>
          </w:p>
        </w:tc>
        <w:tc>
          <w:tcPr>
            <w:tcW w:type="dxa" w:w="355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Latência mediana por sessão, sobreposta ao percentual independente</w:t>
            </w:r>
          </w:p>
        </w:tc>
      </w:tr>
      <w:tr>
        <w:trPr>
          <w:cantSplit/>
        </w:trPr>
        <w:tc>
          <w:tcPr>
            <w:tcW w:type="dxa" w:w="253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Generalização por canal</w:t>
            </w:r>
          </w:p>
        </w:tc>
        <w:tc>
          <w:tcPr>
            <w:tcW w:type="dxa" w:w="355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O que foi aprendido no jogo aparece na mesa e em casa?</w:t>
            </w:r>
          </w:p>
        </w:tc>
        <w:tc>
          <w:tcPr>
            <w:tcW w:type="dxa" w:w="355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Índice de generalização (8.7) por alvo</w:t>
            </w:r>
          </w:p>
        </w:tc>
      </w:tr>
      <w:tr>
        <w:trPr>
          <w:cantSplit/>
        </w:trPr>
        <w:tc>
          <w:tcPr>
            <w:tcW w:type="dxa" w:w="253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Eventos de contexto</w:t>
            </w:r>
          </w:p>
        </w:tc>
        <w:tc>
          <w:tcPr>
            <w:tcW w:type="dxa" w:w="3550"/>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Mudança de medicação, férias ou doença coincidem com alterações?</w:t>
            </w:r>
          </w:p>
        </w:tc>
        <w:tc>
          <w:tcPr>
            <w:tcW w:type="dxa" w:w="355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Marcadores verticais na linha do tempo dos gráficos</w:t>
            </w:r>
          </w:p>
        </w:tc>
      </w:tr>
    </w:tbl>
    <w:p>
      <w:pPr>
        <w:spacing w:after="120"/>
      </w:pPr>
    </w:p>
    <w:p>
      <w:pPr>
        <w:pStyle w:val="Heading2"/>
        <w:keepNext/>
      </w:pPr>
      <w:r>
        <w:t xml:space="preserve">8.7 Indicadores: definições operacionais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55"/>
        <w:gridCol w:w="3677"/>
        <w:gridCol w:w="3806"/>
      </w:tblGrid>
      <w:tr>
        <w:trPr>
          <w:tblHeader/>
        </w:trPr>
        <w:tc>
          <w:tcPr>
            <w:tcW w:type="dxa" w:w="2155"/>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Indicador</w:t>
            </w:r>
          </w:p>
        </w:tc>
        <w:tc>
          <w:tcPr>
            <w:tcW w:type="dxa" w:w="3677"/>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Fórmula</w:t>
            </w:r>
          </w:p>
        </w:tc>
        <w:tc>
          <w:tcPr>
            <w:tcW w:type="dxa" w:w="3806"/>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Interpretação e cuidados</w:t>
            </w:r>
          </w:p>
        </w:tc>
      </w:tr>
      <w:tr>
        <w:trPr>
          <w:cantSplit/>
        </w:trPr>
        <w:tc>
          <w:tcPr>
            <w:tcW w:type="dxa" w:w="215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Percentual independente</w:t>
            </w:r>
          </w:p>
        </w:tc>
        <w:tc>
          <w:tcPr>
            <w:tcW w:type="dxa" w:w="367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corretas independentes ÷ oportunidades × 100</w:t>
            </w:r>
          </w:p>
        </w:tc>
        <w:tc>
          <w:tcPr>
            <w:tcW w:type="dxa" w:w="380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Medida primária de aquisição em ABA. Exibido só com o número de oportunidades ao lado.</w:t>
            </w:r>
          </w:p>
        </w:tc>
      </w:tr>
      <w:tr>
        <w:trPr>
          <w:cantSplit/>
        </w:trPr>
        <w:tc>
          <w:tcPr>
            <w:tcW w:type="dxa" w:w="2155"/>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Percentual com dica</w:t>
            </w:r>
          </w:p>
        </w:tc>
        <w:tc>
          <w:tcPr>
            <w:tcW w:type="dxa" w:w="367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corretas com dica ÷ oportunidades × 100</w:t>
            </w:r>
          </w:p>
        </w:tc>
        <w:tc>
          <w:tcPr>
            <w:tcW w:type="dxa" w:w="380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Graficado separadamente do independente; queda com aumento do independente indica transferência de controle.</w:t>
            </w:r>
          </w:p>
        </w:tc>
      </w:tr>
      <w:tr>
        <w:trPr>
          <w:cantSplit/>
        </w:trPr>
        <w:tc>
          <w:tcPr>
            <w:tcW w:type="dxa" w:w="215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Nível médio de dica</w:t>
            </w:r>
          </w:p>
        </w:tc>
        <w:tc>
          <w:tcPr>
            <w:tcW w:type="dxa" w:w="367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média da intrusividade normalizada (0 = independente; 1 = mais intrusiva da hierarquia)</w:t>
            </w:r>
          </w:p>
        </w:tc>
        <w:tc>
          <w:tcPr>
            <w:tcW w:type="dxa" w:w="380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Permite comparar hierarquias com números diferentes de níveis.</w:t>
            </w:r>
          </w:p>
        </w:tc>
      </w:tr>
      <w:tr>
        <w:trPr>
          <w:cantSplit/>
        </w:trPr>
        <w:tc>
          <w:tcPr>
            <w:tcW w:type="dxa" w:w="2155"/>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Latência mediana</w:t>
            </w:r>
          </w:p>
        </w:tc>
        <w:tc>
          <w:tcPr>
            <w:tcW w:type="dxa" w:w="367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mediana das latências das respostas corretas</w:t>
            </w:r>
          </w:p>
        </w:tc>
        <w:tc>
          <w:tcPr>
            <w:tcW w:type="dxa" w:w="380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Mediana, e não média, por ser robusta a valores extremos.</w:t>
            </w:r>
          </w:p>
        </w:tc>
      </w:tr>
      <w:tr>
        <w:trPr>
          <w:cantSplit/>
        </w:trPr>
        <w:tc>
          <w:tcPr>
            <w:tcW w:type="dxa" w:w="215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Taxa de comportamento</w:t>
            </w:r>
          </w:p>
        </w:tc>
        <w:tc>
          <w:tcPr>
            <w:tcW w:type="dxa" w:w="367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ocorrências ÷ minutos observados</w:t>
            </w:r>
          </w:p>
        </w:tc>
        <w:tc>
          <w:tcPr>
            <w:tcW w:type="dxa" w:w="380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Comparável entre sessões de duração diferente.</w:t>
            </w:r>
          </w:p>
        </w:tc>
      </w:tr>
      <w:tr>
        <w:trPr>
          <w:cantSplit/>
        </w:trPr>
        <w:tc>
          <w:tcPr>
            <w:tcW w:type="dxa" w:w="2155"/>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Percentual de intervalos</w:t>
            </w:r>
          </w:p>
        </w:tc>
        <w:tc>
          <w:tcPr>
            <w:tcW w:type="dxa" w:w="367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intervalos com ocorrência ÷ intervalos observados × 100</w:t>
            </w:r>
          </w:p>
        </w:tc>
        <w:tc>
          <w:tcPr>
            <w:tcW w:type="dxa" w:w="380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Intervalo parcial superestima e total subestima; o tipo é exibido no gráfico.</w:t>
            </w:r>
          </w:p>
        </w:tc>
      </w:tr>
      <w:tr>
        <w:trPr>
          <w:cantSplit/>
        </w:trPr>
        <w:tc>
          <w:tcPr>
            <w:tcW w:type="dxa" w:w="215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Índice de generalização</w:t>
            </w:r>
          </w:p>
        </w:tc>
        <w:tc>
          <w:tcPr>
            <w:tcW w:type="dxa" w:w="367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percentual independente fora do canal de ensino ÷ percentual independente no canal de ensino</w:t>
            </w:r>
          </w:p>
        </w:tc>
        <w:tc>
          <w:tcPr>
            <w:tcW w:type="dxa" w:w="380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Próximo de 1 indica generalização. Só calculado com ao menos duas sondas fora do canal.</w:t>
            </w:r>
          </w:p>
        </w:tc>
      </w:tr>
      <w:tr>
        <w:trPr>
          <w:cantSplit/>
        </w:trPr>
        <w:tc>
          <w:tcPr>
            <w:tcW w:type="dxa" w:w="2155"/>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Velocidade de aquisição</w:t>
            </w:r>
          </w:p>
        </w:tc>
        <w:tc>
          <w:tcPr>
            <w:tcW w:type="dxa" w:w="367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sessões (e oportunidades) da entrada em aquisição até o domínio</w:t>
            </w:r>
          </w:p>
        </w:tc>
        <w:tc>
          <w:tcPr>
            <w:tcW w:type="dxa" w:w="380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Comparada apenas entre alvos do mesmo repertório e procedimento.</w:t>
            </w:r>
          </w:p>
        </w:tc>
      </w:tr>
      <w:tr>
        <w:trPr>
          <w:cantSplit/>
        </w:trPr>
        <w:tc>
          <w:tcPr>
            <w:tcW w:type="dxa" w:w="215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Taxa de manutenção</w:t>
            </w:r>
          </w:p>
        </w:tc>
        <w:tc>
          <w:tcPr>
            <w:tcW w:type="dxa" w:w="367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alvos com todas as sondas de manutenção acima do critério ÷ alvos em manutenção</w:t>
            </w:r>
          </w:p>
        </w:tc>
        <w:tc>
          <w:tcPr>
            <w:tcW w:type="dxa" w:w="380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Indicador de qualidade do critério de domínio adotado.</w:t>
            </w:r>
          </w:p>
        </w:tc>
      </w:tr>
      <w:tr>
        <w:trPr>
          <w:cantSplit/>
        </w:trPr>
        <w:tc>
          <w:tcPr>
            <w:tcW w:type="dxa" w:w="2155"/>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Denver: proporção por passo</w:t>
            </w:r>
          </w:p>
        </w:tc>
        <w:tc>
          <w:tcPr>
            <w:tcW w:type="dxa" w:w="367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intervalos com desempenho ÷ intervalos em que o passo foi trabalhado</w:t>
            </w:r>
          </w:p>
        </w:tc>
        <w:tc>
          <w:tcPr>
            <w:tcW w:type="dxa" w:w="380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Unidade própria do modelo; nunca convertida em percentual de tentativas.</w:t>
            </w:r>
          </w:p>
        </w:tc>
      </w:tr>
      <w:tr>
        <w:trPr>
          <w:cantSplit/>
        </w:trPr>
        <w:tc>
          <w:tcPr>
            <w:tcW w:type="dxa" w:w="215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Fidelidade</w:t>
            </w:r>
          </w:p>
        </w:tc>
        <w:tc>
          <w:tcPr>
            <w:tcW w:type="dxa" w:w="367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componentes executados corretamente ÷ componentes observados × 100</w:t>
            </w:r>
          </w:p>
        </w:tc>
        <w:tc>
          <w:tcPr>
            <w:tcW w:type="dxa" w:w="380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Por aplicador, por procedimento e por período.</w:t>
            </w:r>
          </w:p>
        </w:tc>
      </w:tr>
      <w:tr>
        <w:trPr>
          <w:cantSplit/>
        </w:trPr>
        <w:tc>
          <w:tcPr>
            <w:tcW w:type="dxa" w:w="2155"/>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Concordância entre observadores</w:t>
            </w:r>
          </w:p>
        </w:tc>
        <w:tc>
          <w:tcPr>
            <w:tcW w:type="dxa" w:w="367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concordâncias ÷ (concordâncias + discordâncias) × 100, por tentativa ou por intervalo</w:t>
            </w:r>
          </w:p>
        </w:tc>
        <w:tc>
          <w:tcPr>
            <w:tcW w:type="dxa" w:w="380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Meta padrão de 80%.</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4D41" w:sz="24"/>
              <w:bottom w:val="none" w:color="FFFFFF" w:sz="0"/>
              <w:right w:val="none" w:color="FFFFFF" w:sz="0"/>
            </w:tcBorders>
            <w:shd w:fill="FBEDEB" w:color="auto" w:val="clear"/>
            <w:tcMar>
              <w:top w:type="dxa" w:w="140"/>
              <w:left w:type="dxa" w:w="220"/>
              <w:bottom w:type="dxa" w:w="120"/>
              <w:right w:type="dxa" w:w="200"/>
            </w:tcMar>
          </w:tcPr>
          <w:p>
            <w:pPr>
              <w:spacing w:after="80"/>
            </w:pPr>
            <w:r>
              <w:rPr>
                <w:b/>
                <w:bCs/>
                <w:color w:val="C94D41"/>
                <w:sz w:val="20"/>
                <w:szCs w:val="20"/>
              </w:rPr>
              <w:t xml:space="preserve">O que o sistema nunca calcula</w:t>
            </w:r>
          </w:p>
          <w:p>
            <w:pPr>
              <w:spacing w:after="70" w:line="280"/>
            </w:pPr>
            <w:r>
              <w:rPr>
                <w:sz w:val="19"/>
                <w:szCs w:val="19"/>
              </w:rPr>
              <w:t xml:space="preserve">Média de percentuais de alvos diferentes, “desempenho geral da criança”, nota única de sessão, comparação entre crianças e ranking de qualquer tipo. Essas grandezas parecem informativas, mas misturam definições operacionais diferentes e induzem a conclusões sem fundamento (lacunas L9 e L10).</w:t>
            </w:r>
          </w:p>
        </w:tc>
      </w:tr>
    </w:tbl>
    <w:p>
      <w:pPr>
        <w:spacing w:after="120"/>
      </w:pPr>
    </w:p>
    <w:p>
      <w:pPr>
        <w:pStyle w:val="Heading2"/>
        <w:keepNext/>
      </w:pPr>
      <w:r>
        <w:t xml:space="preserve">8.8 Análise visual assistida</w:t>
      </w:r>
    </w:p>
    <w:p>
      <w:pPr>
        <w:spacing w:after="140" w:before="0" w:line="300"/>
        <w:jc w:val="left"/>
      </w:pPr>
      <w:r>
        <w:t xml:space="preserve">O gráfico de alvo implementa, sob demanda, o método de critério duplo conservador entre duas fases adjacentes: calcula a média e a linha de tendência (mínimos quadrados) da fase anterior, desloca ambas em 0,25 desvio-padrão na direção esperada, conta os pontos da fase seguinte acima das duas linhas e aplica teste binomial contra 50%. O resultado aparece como “mudança sistemática” ou “sem evidência de mudança sistemática”, com a explicação do método. Para fases com menos de cinco pontos, o sistema informa que os dados são insuficientes para o método.</w:t>
      </w:r>
    </w:p>
    <w:p>
      <w:pPr>
        <w:pStyle w:val="Heading2"/>
        <w:keepNext/>
      </w:pPr>
      <w:r>
        <w:t xml:space="preserve">8.9 Inteligência artificial assistiva (fase posterior, opcional)</w:t>
      </w:r>
    </w:p>
    <w:p>
      <w:pPr>
        <w:spacing w:after="140" w:before="0" w:line="300"/>
        <w:jc w:val="left"/>
      </w:pPr>
      <w:r>
        <w:t xml:space="preserve">Modelos de linguagem podem reduzir carga administrativa, mas, em dado de saúde de criança, o risco de uso inadequado é alto. A especificação admite três usos, todos com revisão humana obrigatória antes de qualquer efeito, e veta os demais.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3"/>
        <w:gridCol w:w="1268"/>
        <w:gridCol w:w="5327"/>
      </w:tblGrid>
      <w:tr>
        <w:trPr>
          <w:tblHeader/>
        </w:trPr>
        <w:tc>
          <w:tcPr>
            <w:tcW w:type="dxa" w:w="3043"/>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Uso</w:t>
            </w:r>
          </w:p>
        </w:tc>
        <w:tc>
          <w:tcPr>
            <w:tcW w:type="dxa" w:w="1268"/>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Situação</w:t>
            </w:r>
          </w:p>
        </w:tc>
        <w:tc>
          <w:tcPr>
            <w:tcW w:type="dxa" w:w="5327"/>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Condições</w:t>
            </w:r>
          </w:p>
        </w:tc>
      </w:tr>
      <w:tr>
        <w:trPr>
          <w:cantSplit/>
        </w:trPr>
        <w:tc>
          <w:tcPr>
            <w:tcW w:type="dxa" w:w="304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Rascunho de relatório a partir de dados estruturados</w:t>
            </w:r>
          </w:p>
        </w:tc>
        <w:tc>
          <w:tcPr>
            <w:tcW w:type="dxa" w:w="126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Permitido</w:t>
            </w:r>
          </w:p>
        </w:tc>
        <w:tc>
          <w:tcPr>
            <w:tcW w:type="dxa" w:w="532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Entrada limitada a dados desidentificados do período; texto marcado como rascunho até o profissional revisar e assinar</w:t>
            </w:r>
          </w:p>
        </w:tc>
      </w:tr>
      <w:tr>
        <w:trPr>
          <w:cantSplit/>
        </w:trPr>
        <w:tc>
          <w:tcPr>
            <w:tcW w:type="dxa" w:w="3043"/>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Resumo de notas de sessão para o supervisor</w:t>
            </w:r>
          </w:p>
        </w:tc>
        <w:tc>
          <w:tcPr>
            <w:tcW w:type="dxa" w:w="126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Permitido</w:t>
            </w:r>
          </w:p>
        </w:tc>
        <w:tc>
          <w:tcPr>
            <w:tcW w:type="dxa" w:w="532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Sem envio de identificação; fornecedor com contrato que vede retenção e treinamento com os dados; registro de uso na auditoria</w:t>
            </w:r>
          </w:p>
        </w:tc>
      </w:tr>
      <w:tr>
        <w:trPr>
          <w:cantSplit/>
        </w:trPr>
        <w:tc>
          <w:tcPr>
            <w:tcW w:type="dxa" w:w="304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Tradução de orientações para linguagem acessível à família</w:t>
            </w:r>
          </w:p>
        </w:tc>
        <w:tc>
          <w:tcPr>
            <w:tcW w:type="dxa" w:w="126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Permitido</w:t>
            </w:r>
          </w:p>
        </w:tc>
        <w:tc>
          <w:tcPr>
            <w:tcW w:type="dxa" w:w="532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Revisão do profissional antes do envio</w:t>
            </w:r>
          </w:p>
        </w:tc>
      </w:tr>
      <w:tr>
        <w:trPr>
          <w:cantSplit/>
        </w:trPr>
        <w:tc>
          <w:tcPr>
            <w:tcW w:type="dxa" w:w="3043"/>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Decisão de mudança de fase, diagnóstico, hipótese funcional automática</w:t>
            </w:r>
          </w:p>
        </w:tc>
        <w:tc>
          <w:tcPr>
            <w:tcW w:type="dxa" w:w="126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Vetado</w:t>
            </w:r>
          </w:p>
        </w:tc>
        <w:tc>
          <w:tcPr>
            <w:tcW w:type="dxa" w:w="532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Decisões clínicas permanecem humanas (P3)</w:t>
            </w:r>
          </w:p>
        </w:tc>
      </w:tr>
      <w:tr>
        <w:trPr>
          <w:cantSplit/>
        </w:trPr>
        <w:tc>
          <w:tcPr>
            <w:tcW w:type="dxa" w:w="304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Análise de emoção da criança por câmera ou voz</w:t>
            </w:r>
          </w:p>
        </w:tc>
        <w:tc>
          <w:tcPr>
            <w:tcW w:type="dxa" w:w="126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Vetado</w:t>
            </w:r>
          </w:p>
        </w:tc>
        <w:tc>
          <w:tcPr>
            <w:tcW w:type="dxa" w:w="532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Desproporcional à finalidade e sensível sob o ECA Digital e a LGPD</w:t>
            </w:r>
          </w:p>
        </w:tc>
      </w:tr>
      <w:tr>
        <w:trPr>
          <w:cantSplit/>
        </w:trPr>
        <w:tc>
          <w:tcPr>
            <w:tcW w:type="dxa" w:w="3043"/>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Conversa direta da IA com a criança</w:t>
            </w:r>
          </w:p>
        </w:tc>
        <w:tc>
          <w:tcPr>
            <w:tcW w:type="dxa" w:w="126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Vetado</w:t>
            </w:r>
          </w:p>
        </w:tc>
        <w:tc>
          <w:tcPr>
            <w:tcW w:type="dxa" w:w="532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Fora do escopo clínico e de risco elevado</w:t>
            </w:r>
          </w:p>
        </w:tc>
      </w:tr>
    </w:tbl>
    <w:p>
      <w:pPr>
        <w:spacing w:after="120"/>
      </w:pPr>
    </w:p>
    <w:p>
      <w:pPr>
        <w:pStyle w:val="Heading2"/>
        <w:keepNext/>
      </w:pPr>
      <w:r>
        <w:t xml:space="preserve">8.10 Dados agregados e pesquisa</w:t>
      </w:r>
    </w:p>
    <w:p>
      <w:pPr>
        <w:spacing w:after="140" w:before="0" w:line="300"/>
        <w:jc w:val="left"/>
      </w:pPr>
      <w:r>
        <w:t xml:space="preserve">Painéis da organização (por exemplo, velocidade média de aquisição por programa-modelo) usam apenas projeções agregadas, com supressão de células com menos de cinco crianças. Exportação para pesquisa exige consentimento específico do responsável, desidentificação (remoção de identificadores diretos, deslocamento de datas, generalização de idade em meses para faixas) e aprovação registrada do responsável técnico; quando a pesquisa envolver seres humanos, também a aprovação ética pertinente.</w:t>
      </w:r>
    </w:p>
    <w:p>
      <w:pPr>
        <w:pStyle w:val="Heading1"/>
        <w:pageBreakBefore/>
      </w:pPr>
      <w:r>
        <w:t xml:space="preserve">9. Catálogo de jogos, recursos e materiais</w:t>
      </w:r>
    </w:p>
    <w:p>
      <w:pPr>
        <w:spacing w:after="140" w:before="0" w:line="300"/>
        <w:jc w:val="left"/>
      </w:pPr>
      <w:r>
        <w:t xml:space="preserve">O catálogo é organizado para que o profissional encontre o recurso pelo que ele ensina, e não pelo nome ou pela aparência. Um jogo só entra no catálogo se declarar um manifesto clínico completo e passar pela revisão descrita em 9.8.</w:t>
      </w:r>
    </w:p>
    <w:p>
      <w:pPr>
        <w:pStyle w:val="Heading2"/>
        <w:keepNext/>
      </w:pPr>
      <w:r>
        <w:t xml:space="preserve">9.1 Manifesto clínico obrigatório</w:t>
      </w:r>
    </w:p>
    <w:p>
      <w:pPr>
        <w:spacing w:after="140" w:before="0" w:line="300"/>
        <w:jc w:val="left"/>
      </w:pPr>
      <w:r>
        <w:t xml:space="preserve">Na base de referência, o manifesto de cada jogo declarava habilidades genéricas, faixa etária, dificuldade, duração e eventos suportados, e a auditoria interna do próprio projeto já apontava que isso é insuficiente para aquisição de habilidades. Na nova plataforma, todo jogo publica um manifesto com bloco </w:t>
      </w:r>
      <w:r>
        <w:rPr>
          <w:rFonts w:ascii="Courier New" w:cs="Courier New" w:eastAsia="Courier New" w:hAnsi="Courier New"/>
          <w:sz w:val="19"/>
          <w:szCs w:val="19"/>
        </w:rPr>
        <w:t xml:space="preserve">clinical</w:t>
      </w:r>
      <w:r>
        <w:t xml:space="preserve"> obrigatório: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67085" w:sz="12"/>
              <w:bottom w:val="none" w:color="FFFFFF" w:sz="0"/>
              <w:right w:val="none" w:color="FFFFFF" w:sz="0"/>
            </w:tcBorders>
            <w:shd w:fill="F2F4F7" w:color="auto" w:val="clear"/>
            <w:tcMar>
              <w:top w:type="dxa" w:w="100"/>
              <w:left w:type="dxa" w:w="160"/>
              <w:bottom w:type="dxa" w:w="100"/>
              <w:right w:type="dxa" w:w="120"/>
            </w:tcMar>
          </w:tcPr>
          <w:p>
            <w:pPr>
              <w:spacing w:after="0" w:line="240"/>
            </w:pPr>
            <w:r>
              <w:rPr>
                <w:rFonts w:ascii="Courier New" w:cs="Courier New" w:eastAsia="Courier New" w:hAnsi="Courier New"/>
                <w:color w:val="1D2939"/>
                <w:sz w:val="16"/>
                <w:szCs w:val="16"/>
              </w:rPr>
              <w:t xml:space="preserve">clinical: {</w:t>
            </w:r>
          </w:p>
          <w:p>
            <w:pPr>
              <w:spacing w:after="0" w:line="240"/>
            </w:pPr>
            <w:r>
              <w:rPr>
                <w:rFonts w:ascii="Courier New" w:cs="Courier New" w:eastAsia="Courier New" w:hAnsi="Courier New"/>
                <w:color w:val="1D2939"/>
                <w:sz w:val="16"/>
                <w:szCs w:val="16"/>
              </w:rPr>
              <w:t xml:space="preserve">  purposes: ["teaching", "reinforcer", "regulation", "probe"],   // modos de uso permitidos</w:t>
            </w:r>
          </w:p>
          <w:p>
            <w:pPr>
              <w:spacing w:after="0" w:line="240"/>
            </w:pPr>
            <w:r>
              <w:rPr>
                <w:rFonts w:ascii="Courier New" w:cs="Courier New" w:eastAsia="Courier New" w:hAnsi="Courier New"/>
                <w:color w:val="1D2939"/>
                <w:sz w:val="16"/>
                <w:szCs w:val="16"/>
              </w:rPr>
              <w:t xml:space="preserve">  models: { ABA: "trial-based", DENVER: "joint-routine" | "not-indicated" },</w:t>
            </w:r>
          </w:p>
          <w:p>
            <w:pPr>
              <w:spacing w:after="0" w:line="240"/>
            </w:pPr>
            <w:r>
              <w:rPr>
                <w:rFonts w:ascii="Courier New" w:cs="Courier New" w:eastAsia="Courier New" w:hAnsi="Courier New"/>
                <w:color w:val="1D2939"/>
                <w:sz w:val="16"/>
                <w:szCs w:val="16"/>
              </w:rPr>
              <w:t xml:space="preserve">  repertoires: ["listener", "matching", "tact*", "intraverbal*"], // * = exige pontuação do profissional</w:t>
            </w:r>
          </w:p>
          <w:p>
            <w:pPr>
              <w:spacing w:after="0" w:line="240"/>
            </w:pPr>
            <w:r>
              <w:rPr>
                <w:rFonts w:ascii="Courier New" w:cs="Courier New" w:eastAsia="Courier New" w:hAnsi="Courier New"/>
                <w:color w:val="1D2939"/>
                <w:sz w:val="16"/>
                <w:szCs w:val="16"/>
              </w:rPr>
              <w:t xml:space="preserve">  playLevel: "constructive",                 // ver 9.2</w:t>
            </w:r>
          </w:p>
          <w:p>
            <w:pPr>
              <w:spacing w:after="0" w:line="240"/>
            </w:pPr>
            <w:r>
              <w:rPr>
                <w:rFonts w:ascii="Courier New" w:cs="Courier New" w:eastAsia="Courier New" w:hAnsi="Courier New"/>
                <w:color w:val="1D2939"/>
                <w:sz w:val="16"/>
                <w:szCs w:val="16"/>
              </w:rPr>
              <w:t xml:space="preserve">  trialUnit: "Seleção de uma figura em campo de N após instrução falada",</w:t>
            </w:r>
          </w:p>
          <w:p>
            <w:pPr>
              <w:spacing w:after="0" w:line="240"/>
            </w:pPr>
            <w:r>
              <w:rPr>
                <w:rFonts w:ascii="Courier New" w:cs="Courier New" w:eastAsia="Courier New" w:hAnsi="Courier New"/>
                <w:color w:val="1D2939"/>
                <w:sz w:val="16"/>
                <w:szCs w:val="16"/>
              </w:rPr>
              <w:t xml:space="preserve">  correctResponse: "Toque na figura correspondente ao estímulo-alvo em até latencyMaxMs",</w:t>
            </w:r>
          </w:p>
          <w:p>
            <w:pPr>
              <w:spacing w:after="0" w:line="240"/>
            </w:pPr>
            <w:r>
              <w:rPr>
                <w:rFonts w:ascii="Courier New" w:cs="Courier New" w:eastAsia="Courier New" w:hAnsi="Courier New"/>
                <w:color w:val="1D2939"/>
                <w:sz w:val="16"/>
                <w:szCs w:val="16"/>
              </w:rPr>
              <w:t xml:space="preserve">  autoScoring: ["listener", "matching"],</w:t>
            </w:r>
          </w:p>
          <w:p>
            <w:pPr>
              <w:spacing w:after="0" w:line="240"/>
            </w:pPr>
            <w:r>
              <w:rPr>
                <w:rFonts w:ascii="Courier New" w:cs="Courier New" w:eastAsia="Courier New" w:hAnsi="Courier New"/>
                <w:color w:val="1D2939"/>
                <w:sz w:val="16"/>
                <w:szCs w:val="16"/>
              </w:rPr>
              <w:t xml:space="preserve">  therapistScoring: ["tact", "intraverbal"],</w:t>
            </w:r>
          </w:p>
          <w:p>
            <w:pPr>
              <w:spacing w:after="0" w:line="240"/>
            </w:pPr>
            <w:r>
              <w:rPr>
                <w:rFonts w:ascii="Courier New" w:cs="Courier New" w:eastAsia="Courier New" w:hAnsi="Courier New"/>
                <w:color w:val="1D2939"/>
                <w:sz w:val="16"/>
                <w:szCs w:val="16"/>
              </w:rPr>
              <w:t xml:space="preserve">  acceptsStimulusSets: true, minFieldSize: 1, maxFieldSize: 6,</w:t>
            </w:r>
          </w:p>
          <w:p>
            <w:pPr>
              <w:spacing w:after="0" w:line="240"/>
            </w:pPr>
            <w:r>
              <w:rPr>
                <w:rFonts w:ascii="Courier New" w:cs="Courier New" w:eastAsia="Courier New" w:hAnsi="Courier New"/>
                <w:color w:val="1D2939"/>
                <w:sz w:val="16"/>
                <w:szCs w:val="16"/>
              </w:rPr>
              <w:t xml:space="preserve">  latencyMaxMs: 8000,</w:t>
            </w:r>
          </w:p>
          <w:p>
            <w:pPr>
              <w:spacing w:after="0" w:line="240"/>
            </w:pPr>
            <w:r>
              <w:rPr>
                <w:rFonts w:ascii="Courier New" w:cs="Courier New" w:eastAsia="Courier New" w:hAnsi="Courier New"/>
                <w:color w:val="1D2939"/>
                <w:sz w:val="16"/>
                <w:szCs w:val="16"/>
              </w:rPr>
              <w:t xml:space="preserve">  builtInPrompts: [{ code: "HIGHLIGHT", afterMs: 5000, intrusiveness: 0.4 }],</w:t>
            </w:r>
          </w:p>
          <w:p>
            <w:pPr>
              <w:spacing w:after="0" w:line="240"/>
            </w:pPr>
            <w:r>
              <w:rPr>
                <w:rFonts w:ascii="Courier New" w:cs="Courier New" w:eastAsia="Courier New" w:hAnsi="Courier New"/>
                <w:color w:val="1D2939"/>
                <w:sz w:val="16"/>
                <w:szCs w:val="16"/>
              </w:rPr>
              <w:t xml:space="preserve">  prerequisites: ["toca-alvo-intencional", "tolera-tablet"],</w:t>
            </w:r>
          </w:p>
          <w:p>
            <w:pPr>
              <w:spacing w:after="0" w:line="240"/>
            </w:pPr>
            <w:r>
              <w:rPr>
                <w:rFonts w:ascii="Courier New" w:cs="Courier New" w:eastAsia="Courier New" w:hAnsi="Courier New"/>
                <w:color w:val="1D2939"/>
                <w:sz w:val="16"/>
                <w:szCs w:val="16"/>
              </w:rPr>
              <w:t xml:space="preserve">  ageRange: [3, 10], minAgeRequiresAdult: true,</w:t>
            </w:r>
          </w:p>
          <w:p>
            <w:pPr>
              <w:spacing w:after="0" w:line="240"/>
            </w:pPr>
            <w:r>
              <w:rPr>
                <w:rFonts w:ascii="Courier New" w:cs="Courier New" w:eastAsia="Courier New" w:hAnsi="Courier New"/>
                <w:color w:val="1D2939"/>
                <w:sz w:val="16"/>
                <w:szCs w:val="16"/>
              </w:rPr>
              <w:t xml:space="preserve">  sensory: { flashes: false, maxSoundDb: "low", motionReducible: true },</w:t>
            </w:r>
          </w:p>
          <w:p>
            <w:pPr>
              <w:spacing w:after="0" w:line="240"/>
            </w:pPr>
            <w:r>
              <w:rPr>
                <w:rFonts w:ascii="Courier New" w:cs="Courier New" w:eastAsia="Courier New" w:hAnsi="Courier New"/>
                <w:color w:val="1D2939"/>
                <w:sz w:val="16"/>
                <w:szCs w:val="16"/>
              </w:rPr>
              <w:t xml:space="preserve">  metrics: ["response", "latencyMs", "positionOfTarget", "promptLevel"],</w:t>
            </w:r>
          </w:p>
          <w:p>
            <w:pPr>
              <w:spacing w:after="0" w:line="240"/>
            </w:pPr>
            <w:r>
              <w:rPr>
                <w:rFonts w:ascii="Courier New" w:cs="Courier New" w:eastAsia="Courier New" w:hAnsi="Courier New"/>
                <w:color w:val="1D2939"/>
                <w:sz w:val="16"/>
                <w:szCs w:val="16"/>
              </w:rPr>
              <w:t xml:space="preserve">  eventSchemas: ["listener-selection@1"],</w:t>
            </w:r>
          </w:p>
          <w:p>
            <w:pPr>
              <w:spacing w:after="0" w:line="240"/>
            </w:pPr>
            <w:r>
              <w:rPr>
                <w:rFonts w:ascii="Courier New" w:cs="Courier New" w:eastAsia="Courier New" w:hAnsi="Courier New"/>
                <w:color w:val="1D2939"/>
                <w:sz w:val="16"/>
                <w:szCs w:val="16"/>
              </w:rPr>
              <w:t xml:space="preserve">  generalizationNotes: "Sondar com objetos reais e com outra pessoa nomeando",</w:t>
            </w:r>
          </w:p>
          <w:p>
            <w:pPr>
              <w:spacing w:after="0" w:line="240"/>
            </w:pPr>
            <w:r>
              <w:rPr>
                <w:rFonts w:ascii="Courier New" w:cs="Courier New" w:eastAsia="Courier New" w:hAnsi="Courier New"/>
                <w:color w:val="1D2939"/>
                <w:sz w:val="16"/>
                <w:szCs w:val="16"/>
              </w:rPr>
              <w:t xml:space="preserve">  evidence: ["NCAEP 2020: Technology-Aided Instruction; Discrete Trial Training"]</w:t>
            </w:r>
          </w:p>
          <w:p>
            <w:pPr>
              <w:spacing w:after="0" w:line="240"/>
            </w:pPr>
            <w:r>
              <w:rPr>
                <w:rFonts w:ascii="Courier New" w:cs="Courier New" w:eastAsia="Courier New" w:hAnsi="Courier New"/>
                <w:color w:val="1D2939"/>
                <w:sz w:val="16"/>
                <w:szCs w:val="16"/>
              </w:rPr>
              <w:t xml:space="preserve">}</w:t>
            </w:r>
          </w:p>
        </w:tc>
      </w:tr>
    </w:tbl>
    <w:p>
      <w:pPr>
        <w:spacing w:after="120"/>
      </w:pPr>
    </w:p>
    <w:p>
      <w:pPr>
        <w:pStyle w:val="Heading2"/>
        <w:keepNext/>
      </w:pPr>
      <w:r>
        <w:t xml:space="preserve">9.2 Classificação por nível de brincar e finalidade</w:t>
      </w:r>
    </w:p>
    <w:p>
      <w:pPr>
        <w:spacing w:after="140" w:before="0" w:line="300"/>
        <w:jc w:val="left"/>
      </w:pPr>
      <w:r>
        <w:t xml:space="preserve">O pedido de que os jogos abranjam todas as idades, gêneros e níveis de brincar exige uma taxonomia explícita. A plataforma usa uma classificação desenvolvimental do brincar combinada com a finalidade clínica.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3132"/>
        <w:gridCol w:w="1927"/>
        <w:gridCol w:w="2652"/>
      </w:tblGrid>
      <w:tr>
        <w:trPr>
          <w:tblHeader/>
        </w:trPr>
        <w:tc>
          <w:tcPr>
            <w:tcW w:type="dxa" w:w="1927"/>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Nível de brincar</w:t>
            </w:r>
          </w:p>
        </w:tc>
        <w:tc>
          <w:tcPr>
            <w:tcW w:type="dxa" w:w="3132"/>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Descrição</w:t>
            </w:r>
          </w:p>
        </w:tc>
        <w:tc>
          <w:tcPr>
            <w:tcW w:type="dxa" w:w="1927"/>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Faixa típica de referência</w:t>
            </w:r>
          </w:p>
        </w:tc>
        <w:tc>
          <w:tcPr>
            <w:tcW w:type="dxa" w:w="2652"/>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Papel do digital</w:t>
            </w:r>
          </w:p>
        </w:tc>
      </w:tr>
      <w:tr>
        <w:trPr>
          <w:cantSplit/>
        </w:trPr>
        <w:tc>
          <w:tcPr>
            <w:tcW w:type="dxa" w:w="192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Exploratório e sensório-motor</w:t>
            </w:r>
          </w:p>
        </w:tc>
        <w:tc>
          <w:tcPr>
            <w:tcW w:type="dxa" w:w="313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Explorar propriedades de objetos com o corpo: bater, chacoalhar, levar à boca, observar efeitos</w:t>
            </w:r>
          </w:p>
        </w:tc>
        <w:tc>
          <w:tcPr>
            <w:tcW w:type="dxa" w:w="192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Primeiro ano</w:t>
            </w:r>
          </w:p>
        </w:tc>
        <w:tc>
          <w:tcPr>
            <w:tcW w:type="dxa" w:w="265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Nenhum para a criança. Materiais reais; orientação à família</w:t>
            </w:r>
          </w:p>
        </w:tc>
      </w:tr>
      <w:tr>
        <w:trPr>
          <w:cantSplit/>
        </w:trPr>
        <w:tc>
          <w:tcPr>
            <w:tcW w:type="dxa" w:w="192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Causa e efeito</w:t>
            </w:r>
          </w:p>
        </w:tc>
        <w:tc>
          <w:tcPr>
            <w:tcW w:type="dxa" w:w="313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Ação produz resultado previsível: apertar e acender, empurrar e cair</w:t>
            </w:r>
          </w:p>
        </w:tc>
        <w:tc>
          <w:tcPr>
            <w:tcW w:type="dxa" w:w="192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Final do primeiro ano a 2 anos</w:t>
            </w:r>
          </w:p>
        </w:tc>
        <w:tc>
          <w:tcPr>
            <w:tcW w:type="dxa" w:w="265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Muito limitado e só a partir de 2 anos, como atividade conjunta breve</w:t>
            </w:r>
          </w:p>
        </w:tc>
      </w:tr>
      <w:tr>
        <w:trPr>
          <w:cantSplit/>
        </w:trPr>
        <w:tc>
          <w:tcPr>
            <w:tcW w:type="dxa" w:w="192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Funcional</w:t>
            </w:r>
          </w:p>
        </w:tc>
        <w:tc>
          <w:tcPr>
            <w:tcW w:type="dxa" w:w="313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Usar objetos conforme sua função convencional: escovar o cabelo da boneca, empurrar o carrinho</w:t>
            </w:r>
          </w:p>
        </w:tc>
        <w:tc>
          <w:tcPr>
            <w:tcW w:type="dxa" w:w="192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2 a 3 anos</w:t>
            </w:r>
          </w:p>
        </w:tc>
        <w:tc>
          <w:tcPr>
            <w:tcW w:type="dxa" w:w="265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Complementar; prioridade a objetos reais</w:t>
            </w:r>
          </w:p>
        </w:tc>
      </w:tr>
      <w:tr>
        <w:trPr>
          <w:cantSplit/>
        </w:trPr>
        <w:tc>
          <w:tcPr>
            <w:tcW w:type="dxa" w:w="192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Construtivo</w:t>
            </w:r>
          </w:p>
        </w:tc>
        <w:tc>
          <w:tcPr>
            <w:tcW w:type="dxa" w:w="313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Construir algo com um objetivo: torres, encaixes, quebra-cabeças, desenhos</w:t>
            </w:r>
          </w:p>
        </w:tc>
        <w:tc>
          <w:tcPr>
            <w:tcW w:type="dxa" w:w="192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3 a 5 anos e além</w:t>
            </w:r>
          </w:p>
        </w:tc>
        <w:tc>
          <w:tcPr>
            <w:tcW w:type="dxa" w:w="265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Adequado: encaixe, construção, cópia de modelo</w:t>
            </w:r>
          </w:p>
        </w:tc>
      </w:tr>
      <w:tr>
        <w:trPr>
          <w:cantSplit/>
        </w:trPr>
        <w:tc>
          <w:tcPr>
            <w:tcW w:type="dxa" w:w="192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Simbólico</w:t>
            </w:r>
          </w:p>
        </w:tc>
        <w:tc>
          <w:tcPr>
            <w:tcW w:type="dxa" w:w="313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Faz de conta com substituição de objetos e papéis</w:t>
            </w:r>
          </w:p>
        </w:tc>
        <w:tc>
          <w:tcPr>
            <w:tcW w:type="dxa" w:w="192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3 a 6 anos</w:t>
            </w:r>
          </w:p>
        </w:tc>
        <w:tc>
          <w:tcPr>
            <w:tcW w:type="dxa" w:w="265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Complementar: cenários de faz de conta guiados, sempre com adulto</w:t>
            </w:r>
          </w:p>
        </w:tc>
      </w:tr>
      <w:tr>
        <w:trPr>
          <w:cantSplit/>
        </w:trPr>
        <w:tc>
          <w:tcPr>
            <w:tcW w:type="dxa" w:w="192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Com regras</w:t>
            </w:r>
          </w:p>
        </w:tc>
        <w:tc>
          <w:tcPr>
            <w:tcW w:type="dxa" w:w="313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Jogos com regras compartilhadas, turnos, vencer e perder</w:t>
            </w:r>
          </w:p>
        </w:tc>
        <w:tc>
          <w:tcPr>
            <w:tcW w:type="dxa" w:w="192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5 anos em diante</w:t>
            </w:r>
          </w:p>
        </w:tc>
        <w:tc>
          <w:tcPr>
            <w:tcW w:type="dxa" w:w="265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Adequado: turnos, cooperação, estratégia</w:t>
            </w:r>
          </w:p>
        </w:tc>
      </w:tr>
      <w:tr>
        <w:trPr>
          <w:cantSplit/>
        </w:trPr>
        <w:tc>
          <w:tcPr>
            <w:tcW w:type="dxa" w:w="192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Interesses e lazer do adolescente</w:t>
            </w:r>
          </w:p>
        </w:tc>
        <w:tc>
          <w:tcPr>
            <w:tcW w:type="dxa" w:w="313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Atividades com significado próprio, autonomia, pares</w:t>
            </w:r>
          </w:p>
        </w:tc>
        <w:tc>
          <w:tcPr>
            <w:tcW w:type="dxa" w:w="192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12 a 18 anos</w:t>
            </w:r>
          </w:p>
        </w:tc>
        <w:tc>
          <w:tcPr>
            <w:tcW w:type="dxa" w:w="265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Adequado: autogerenciamento, AVD, comunicação social, lazer</w:t>
            </w:r>
          </w:p>
        </w:tc>
      </w:tr>
    </w:tbl>
    <w:p>
      <w:pPr>
        <w:spacing w:after="120"/>
      </w:pPr>
    </w:p>
    <w:p>
      <w:pPr>
        <w:spacing w:after="140" w:before="0" w:line="300"/>
        <w:jc w:val="left"/>
      </w:pPr>
      <w:r>
        <w:t xml:space="preserve">As faixas indicadas são referências desenvolvimentais aproximadas e servem para organizar o catálogo; a seleção para cada criança segue o nível de brincar avaliado, não a idade cronológica. Em relação a gênero, a diretriz de conteúdo é simples: personagens, temas e cores diversos, nenhum jogo rotulado por gênero, e personalização de avatar e estímulos pela própria criança ou família, dentro dos limites do perfil sensorial.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75"/>
        <w:gridCol w:w="4311"/>
        <w:gridCol w:w="3552"/>
      </w:tblGrid>
      <w:tr>
        <w:trPr>
          <w:tblHeader/>
        </w:trPr>
        <w:tc>
          <w:tcPr>
            <w:tcW w:type="dxa" w:w="1775"/>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Finalidade</w:t>
            </w:r>
          </w:p>
        </w:tc>
        <w:tc>
          <w:tcPr>
            <w:tcW w:type="dxa" w:w="4311"/>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Definição</w:t>
            </w:r>
          </w:p>
        </w:tc>
        <w:tc>
          <w:tcPr>
            <w:tcW w:type="dxa" w:w="3552"/>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Regra</w:t>
            </w:r>
          </w:p>
        </w:tc>
      </w:tr>
      <w:tr>
        <w:trPr>
          <w:cantSplit/>
        </w:trPr>
        <w:tc>
          <w:tcPr>
            <w:tcW w:type="dxa" w:w="177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Ensino</w:t>
            </w:r>
          </w:p>
        </w:tc>
        <w:tc>
          <w:tcPr>
            <w:tcW w:type="dxa" w:w="431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O jogo apresenta oportunidades de resposta para alvos do plano</w:t>
            </w:r>
          </w:p>
        </w:tc>
        <w:tc>
          <w:tcPr>
            <w:tcW w:type="dxa" w:w="355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Exige alvo vinculado; gera registro clínico</w:t>
            </w:r>
          </w:p>
        </w:tc>
      </w:tr>
      <w:tr>
        <w:trPr>
          <w:cantSplit/>
        </w:trPr>
        <w:tc>
          <w:tcPr>
            <w:tcW w:type="dxa" w:w="1775"/>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Reforçador</w:t>
            </w:r>
          </w:p>
        </w:tc>
        <w:tc>
          <w:tcPr>
            <w:tcW w:type="dxa" w:w="4311"/>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O jogo é a consequência entregue após o cumprimento de uma contingência</w:t>
            </w:r>
          </w:p>
        </w:tc>
        <w:tc>
          <w:tcPr>
            <w:tcW w:type="dxa" w:w="355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Temporizado; não gera registro de desempenho; conta no tempo de tela</w:t>
            </w:r>
          </w:p>
        </w:tc>
      </w:tr>
      <w:tr>
        <w:trPr>
          <w:cantSplit/>
        </w:trPr>
        <w:tc>
          <w:tcPr>
            <w:tcW w:type="dxa" w:w="177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Regulação</w:t>
            </w:r>
          </w:p>
        </w:tc>
        <w:tc>
          <w:tcPr>
            <w:tcW w:type="dxa" w:w="431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O jogo apoia estratégias de autorregulação ensinadas</w:t>
            </w:r>
          </w:p>
        </w:tc>
        <w:tc>
          <w:tcPr>
            <w:tcW w:type="dxa" w:w="355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Vinculado a plano de manejo ou alvo de autorregulação</w:t>
            </w:r>
          </w:p>
        </w:tc>
      </w:tr>
      <w:tr>
        <w:trPr>
          <w:cantSplit/>
        </w:trPr>
        <w:tc>
          <w:tcPr>
            <w:tcW w:type="dxa" w:w="1775"/>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Sonda</w:t>
            </w:r>
          </w:p>
        </w:tc>
        <w:tc>
          <w:tcPr>
            <w:tcW w:type="dxa" w:w="4311"/>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O jogo é usado para medir sem ensinar (sem dica, sem reforço diferencial)</w:t>
            </w:r>
          </w:p>
        </w:tc>
        <w:tc>
          <w:tcPr>
            <w:tcW w:type="dxa" w:w="355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Registra como sonda; usado em linha de base e manutenção</w:t>
            </w:r>
          </w:p>
        </w:tc>
      </w:tr>
    </w:tbl>
    <w:p>
      <w:pPr>
        <w:spacing w:after="120"/>
      </w:pPr>
    </w:p>
    <w:p>
      <w:pPr>
        <w:pStyle w:val="Heading2"/>
        <w:keepNext/>
      </w:pPr>
      <w:r>
        <w:t xml:space="preserve">9.3 Os 25 jogos das bases como ponto de partida do catálogo</w:t>
      </w:r>
    </w:p>
    <w:p>
      <w:pPr>
        <w:spacing w:after="140" w:before="0" w:line="300"/>
        <w:jc w:val="left"/>
      </w:pPr>
      <w:r>
        <w:t xml:space="preserve">Os jogos das bases são tratados como conceitos validados a reconstruir na nova plataforma, não como código a migrar. A tabela posiciona cada conceito na nova lógica, com a unidade de tentativa a declarar no manifesto e os requisitos da reconstrução. As faixas etárias são as declaradas nas bases; abaixo de 5 anos, valem sempre os limites de tempo e a mediação adulta da Seção 4.10.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616"/>
        <w:gridCol w:w="1512"/>
        <w:gridCol w:w="1568"/>
        <w:gridCol w:w="1008"/>
        <w:gridCol w:w="1176"/>
        <w:gridCol w:w="2358"/>
      </w:tblGrid>
      <w:tr>
        <w:trPr>
          <w:tblHeader/>
        </w:trPr>
        <w:tc>
          <w:tcPr>
            <w:tcW w:type="dxa" w:w="1400"/>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Jogo</w:t>
            </w:r>
          </w:p>
        </w:tc>
        <w:tc>
          <w:tcPr>
            <w:tcW w:type="dxa" w:w="616"/>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Faixa</w:t>
            </w:r>
          </w:p>
        </w:tc>
        <w:tc>
          <w:tcPr>
            <w:tcW w:type="dxa" w:w="1512"/>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Repertório principal</w:t>
            </w:r>
          </w:p>
        </w:tc>
        <w:tc>
          <w:tcPr>
            <w:tcW w:type="dxa" w:w="1568"/>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Unidade de tentativa (v2)</w:t>
            </w:r>
          </w:p>
        </w:tc>
        <w:tc>
          <w:tcPr>
            <w:tcW w:type="dxa" w:w="1008"/>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ABA</w:t>
            </w:r>
          </w:p>
        </w:tc>
        <w:tc>
          <w:tcPr>
            <w:tcW w:type="dxa" w:w="1176"/>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Denver</w:t>
            </w:r>
          </w:p>
        </w:tc>
        <w:tc>
          <w:tcPr>
            <w:tcW w:type="dxa" w:w="2358"/>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Requisitos na reconstrução</w:t>
            </w:r>
          </w:p>
        </w:tc>
      </w:tr>
      <w:tr>
        <w:trPr>
          <w:cantSplit/>
        </w:trPr>
        <w:tc>
          <w:tcPr>
            <w:tcW w:type="dxa" w:w="140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Encontre o Igual</w:t>
            </w:r>
          </w:p>
        </w:tc>
        <w:tc>
          <w:tcPr>
            <w:tcW w:type="dxa" w:w="61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2–8</w:t>
            </w:r>
          </w:p>
        </w:tc>
        <w:tc>
          <w:tcPr>
            <w:tcW w:type="dxa" w:w="151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Pareamento visual</w:t>
            </w:r>
          </w:p>
        </w:tc>
        <w:tc>
          <w:tcPr>
            <w:tcW w:type="dxa" w:w="156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Seleção do idêntico em campo de N</w:t>
            </w:r>
          </w:p>
        </w:tc>
        <w:tc>
          <w:tcPr>
            <w:tcW w:type="dxa" w:w="100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Ensino e sonda</w:t>
            </w:r>
          </w:p>
        </w:tc>
        <w:tc>
          <w:tcPr>
            <w:tcW w:type="dxa" w:w="117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Não indicado</w:t>
            </w:r>
          </w:p>
        </w:tc>
        <w:tc>
          <w:tcPr>
            <w:tcW w:type="dxa" w:w="235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Aceitar estímulos do alvo (fotos reais); progressão idêntico, não idêntico, categoria; detectar viés de posição</w:t>
            </w:r>
          </w:p>
        </w:tc>
      </w:tr>
      <w:tr>
        <w:trPr>
          <w:cantSplit/>
        </w:trPr>
        <w:tc>
          <w:tcPr>
            <w:tcW w:type="dxa" w:w="1400"/>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Escolha pela Instrução</w:t>
            </w:r>
          </w:p>
        </w:tc>
        <w:tc>
          <w:tcPr>
            <w:tcW w:type="dxa" w:w="61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3–10</w:t>
            </w:r>
          </w:p>
        </w:tc>
        <w:tc>
          <w:tcPr>
            <w:tcW w:type="dxa" w:w="151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Ouvinte (nome, função, atributo)</w:t>
            </w:r>
          </w:p>
        </w:tc>
        <w:tc>
          <w:tcPr>
            <w:tcW w:type="dxa" w:w="156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Seleção após instrução</w:t>
            </w:r>
          </w:p>
        </w:tc>
        <w:tc>
          <w:tcPr>
            <w:tcW w:type="dxa" w:w="100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Ensino e sonda</w:t>
            </w:r>
          </w:p>
        </w:tc>
        <w:tc>
          <w:tcPr>
            <w:tcW w:type="dxa" w:w="117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Não indicado</w:t>
            </w:r>
          </w:p>
        </w:tc>
        <w:tc>
          <w:tcPr>
            <w:tcW w:type="dxa" w:w="235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Áudio natural gravado; campo configurável; tipo de instrução como parâmetro</w:t>
            </w:r>
          </w:p>
        </w:tc>
      </w:tr>
      <w:tr>
        <w:trPr>
          <w:cantSplit/>
        </w:trPr>
        <w:tc>
          <w:tcPr>
            <w:tcW w:type="dxa" w:w="140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Memória dos Bichos</w:t>
            </w:r>
          </w:p>
        </w:tc>
        <w:tc>
          <w:tcPr>
            <w:tcW w:type="dxa" w:w="61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3–12</w:t>
            </w:r>
          </w:p>
        </w:tc>
        <w:tc>
          <w:tcPr>
            <w:tcW w:type="dxa" w:w="151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Pareamento e memória</w:t>
            </w:r>
          </w:p>
        </w:tc>
        <w:tc>
          <w:tcPr>
            <w:tcW w:type="dxa" w:w="156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Par encontrado / tentativas</w:t>
            </w:r>
          </w:p>
        </w:tc>
        <w:tc>
          <w:tcPr>
            <w:tcW w:type="dxa" w:w="100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Ensino ou reforçador</w:t>
            </w:r>
          </w:p>
        </w:tc>
        <w:tc>
          <w:tcPr>
            <w:tcW w:type="dxa" w:w="117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Não indicado</w:t>
            </w:r>
          </w:p>
        </w:tc>
        <w:tc>
          <w:tcPr>
            <w:tcW w:type="dxa" w:w="235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Conjunto de estímulos configurável; métricas de tentativas por par</w:t>
            </w:r>
          </w:p>
        </w:tc>
      </w:tr>
      <w:tr>
        <w:trPr>
          <w:cantSplit/>
        </w:trPr>
        <w:tc>
          <w:tcPr>
            <w:tcW w:type="dxa" w:w="1400"/>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Organize por Categoria</w:t>
            </w:r>
          </w:p>
        </w:tc>
        <w:tc>
          <w:tcPr>
            <w:tcW w:type="dxa" w:w="61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3–9</w:t>
            </w:r>
          </w:p>
        </w:tc>
        <w:tc>
          <w:tcPr>
            <w:tcW w:type="dxa" w:w="151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Classificação, ouvinte por classe</w:t>
            </w:r>
          </w:p>
        </w:tc>
        <w:tc>
          <w:tcPr>
            <w:tcW w:type="dxa" w:w="156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Item classificado</w:t>
            </w:r>
          </w:p>
        </w:tc>
        <w:tc>
          <w:tcPr>
            <w:tcW w:type="dxa" w:w="100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Ensino e sonda</w:t>
            </w:r>
          </w:p>
        </w:tc>
        <w:tc>
          <w:tcPr>
            <w:tcW w:type="dxa" w:w="117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Não indicado</w:t>
            </w:r>
          </w:p>
        </w:tc>
        <w:tc>
          <w:tcPr>
            <w:tcW w:type="dxa" w:w="235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Categorias e itens vindos do conjunto do alvo</w:t>
            </w:r>
          </w:p>
        </w:tc>
      </w:tr>
      <w:tr>
        <w:trPr>
          <w:cantSplit/>
        </w:trPr>
        <w:tc>
          <w:tcPr>
            <w:tcW w:type="dxa" w:w="140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Reconhecendo Emoções</w:t>
            </w:r>
          </w:p>
        </w:tc>
        <w:tc>
          <w:tcPr>
            <w:tcW w:type="dxa" w:w="61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3–12</w:t>
            </w:r>
          </w:p>
        </w:tc>
        <w:tc>
          <w:tcPr>
            <w:tcW w:type="dxa" w:w="151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Emoções (seleção); tato de emoção</w:t>
            </w:r>
          </w:p>
        </w:tc>
        <w:tc>
          <w:tcPr>
            <w:tcW w:type="dxa" w:w="156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Vinheta respondida</w:t>
            </w:r>
          </w:p>
        </w:tc>
        <w:tc>
          <w:tcPr>
            <w:tcW w:type="dxa" w:w="100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Ensino</w:t>
            </w:r>
          </w:p>
        </w:tc>
        <w:tc>
          <w:tcPr>
            <w:tcW w:type="dxa" w:w="117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Não indicado</w:t>
            </w:r>
          </w:p>
        </w:tc>
        <w:tc>
          <w:tcPr>
            <w:tcW w:type="dxa" w:w="235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Na base, a fonte estava minificada: escrever código legível; modo de pontuação pelo profissional para tato</w:t>
            </w:r>
          </w:p>
        </w:tc>
      </w:tr>
      <w:tr>
        <w:trPr>
          <w:cantSplit/>
        </w:trPr>
        <w:tc>
          <w:tcPr>
            <w:tcW w:type="dxa" w:w="1400"/>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Minha Vez, Sua Vez</w:t>
            </w:r>
          </w:p>
        </w:tc>
        <w:tc>
          <w:tcPr>
            <w:tcW w:type="dxa" w:w="61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2–8</w:t>
            </w:r>
          </w:p>
        </w:tc>
        <w:tc>
          <w:tcPr>
            <w:tcW w:type="dxa" w:w="151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Turnos, espera</w:t>
            </w:r>
          </w:p>
        </w:tc>
        <w:tc>
          <w:tcPr>
            <w:tcW w:type="dxa" w:w="156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Turno respeitado</w:t>
            </w:r>
          </w:p>
        </w:tc>
        <w:tc>
          <w:tcPr>
            <w:tcW w:type="dxa" w:w="100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Ensino</w:t>
            </w:r>
          </w:p>
        </w:tc>
        <w:tc>
          <w:tcPr>
            <w:tcW w:type="dxa" w:w="117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Rotina conjunta possível</w:t>
            </w:r>
          </w:p>
        </w:tc>
        <w:tc>
          <w:tcPr>
            <w:tcW w:type="dxa" w:w="235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Modo adulto-criança na mesma tela como rotina compartilhada; registrar espera em segundos</w:t>
            </w:r>
          </w:p>
        </w:tc>
      </w:tr>
      <w:tr>
        <w:trPr>
          <w:cantSplit/>
        </w:trPr>
        <w:tc>
          <w:tcPr>
            <w:tcW w:type="dxa" w:w="140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Siga o Olhar</w:t>
            </w:r>
          </w:p>
        </w:tc>
        <w:tc>
          <w:tcPr>
            <w:tcW w:type="dxa" w:w="61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2–7</w:t>
            </w:r>
          </w:p>
        </w:tc>
        <w:tc>
          <w:tcPr>
            <w:tcW w:type="dxa" w:w="151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Seguir pista de olhar em figura</w:t>
            </w:r>
          </w:p>
        </w:tc>
        <w:tc>
          <w:tcPr>
            <w:tcW w:type="dxa" w:w="156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Seleção guiada pelo olhar do personagem</w:t>
            </w:r>
          </w:p>
        </w:tc>
        <w:tc>
          <w:tcPr>
            <w:tcW w:type="dxa" w:w="100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Ensino complementar</w:t>
            </w:r>
          </w:p>
        </w:tc>
        <w:tc>
          <w:tcPr>
            <w:tcW w:type="dxa" w:w="117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Não indicado</w:t>
            </w:r>
          </w:p>
        </w:tc>
        <w:tc>
          <w:tcPr>
            <w:tcW w:type="dxa" w:w="235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Explicitar que não substitui atenção conjunta com pessoa; R6 obrigatória (sonda com pessoa real)</w:t>
            </w:r>
          </w:p>
        </w:tc>
      </w:tr>
      <w:tr>
        <w:trPr>
          <w:cantSplit/>
        </w:trPr>
        <w:tc>
          <w:tcPr>
            <w:tcW w:type="dxa" w:w="1400"/>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Caça ao Alvo</w:t>
            </w:r>
          </w:p>
        </w:tc>
        <w:tc>
          <w:tcPr>
            <w:tcW w:type="dxa" w:w="61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5–12</w:t>
            </w:r>
          </w:p>
        </w:tc>
        <w:tc>
          <w:tcPr>
            <w:tcW w:type="dxa" w:w="151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Busca visual</w:t>
            </w:r>
          </w:p>
        </w:tc>
        <w:tc>
          <w:tcPr>
            <w:tcW w:type="dxa" w:w="156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Alvo localizado na cena</w:t>
            </w:r>
          </w:p>
        </w:tc>
        <w:tc>
          <w:tcPr>
            <w:tcW w:type="dxa" w:w="100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Ensino ou reforçador</w:t>
            </w:r>
          </w:p>
        </w:tc>
        <w:tc>
          <w:tcPr>
            <w:tcW w:type="dxa" w:w="117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Não indicado</w:t>
            </w:r>
          </w:p>
        </w:tc>
        <w:tc>
          <w:tcPr>
            <w:tcW w:type="dxa" w:w="235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Alvo como estímulo do conjunto; latência de busca</w:t>
            </w:r>
          </w:p>
        </w:tc>
      </w:tr>
      <w:tr>
        <w:trPr>
          <w:cantSplit/>
        </w:trPr>
        <w:tc>
          <w:tcPr>
            <w:tcW w:type="dxa" w:w="140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Caminho do Dedo</w:t>
            </w:r>
          </w:p>
        </w:tc>
        <w:tc>
          <w:tcPr>
            <w:tcW w:type="dxa" w:w="61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3–10</w:t>
            </w:r>
          </w:p>
        </w:tc>
        <w:tc>
          <w:tcPr>
            <w:tcW w:type="dxa" w:w="151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Motricidade fina, pré-escrita</w:t>
            </w:r>
          </w:p>
        </w:tc>
        <w:tc>
          <w:tcPr>
            <w:tcW w:type="dxa" w:w="156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Percurso concluído (precisão)</w:t>
            </w:r>
          </w:p>
        </w:tc>
        <w:tc>
          <w:tcPr>
            <w:tcW w:type="dxa" w:w="100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Ensino</w:t>
            </w:r>
          </w:p>
        </w:tc>
        <w:tc>
          <w:tcPr>
            <w:tcW w:type="dxa" w:w="117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Não indicado</w:t>
            </w:r>
          </w:p>
        </w:tc>
        <w:tc>
          <w:tcPr>
            <w:tcW w:type="dxa" w:w="235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Critério por precisão percentual e desvios; sondar com lápis e papel</w:t>
            </w:r>
          </w:p>
        </w:tc>
      </w:tr>
      <w:tr>
        <w:trPr>
          <w:cantSplit/>
        </w:trPr>
        <w:tc>
          <w:tcPr>
            <w:tcW w:type="dxa" w:w="1400"/>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Construtor de Formas</w:t>
            </w:r>
          </w:p>
        </w:tc>
        <w:tc>
          <w:tcPr>
            <w:tcW w:type="dxa" w:w="61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4–12</w:t>
            </w:r>
          </w:p>
        </w:tc>
        <w:tc>
          <w:tcPr>
            <w:tcW w:type="dxa" w:w="151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Cópia de modelo, espacial</w:t>
            </w:r>
          </w:p>
        </w:tc>
        <w:tc>
          <w:tcPr>
            <w:tcW w:type="dxa" w:w="156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Figura copiada</w:t>
            </w:r>
          </w:p>
        </w:tc>
        <w:tc>
          <w:tcPr>
            <w:tcW w:type="dxa" w:w="100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Ensino</w:t>
            </w:r>
          </w:p>
        </w:tc>
        <w:tc>
          <w:tcPr>
            <w:tcW w:type="dxa" w:w="117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Rotina conjunta possível (modo Criar com turnos)</w:t>
            </w:r>
          </w:p>
        </w:tc>
        <w:tc>
          <w:tcPr>
            <w:tcW w:type="dxa" w:w="235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Modo Copiar como tentativa; modo Criar como atividade livre ou reforçador</w:t>
            </w:r>
          </w:p>
        </w:tc>
      </w:tr>
      <w:tr>
        <w:trPr>
          <w:cantSplit/>
        </w:trPr>
        <w:tc>
          <w:tcPr>
            <w:tcW w:type="dxa" w:w="140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Encaixa!</w:t>
            </w:r>
          </w:p>
        </w:tc>
        <w:tc>
          <w:tcPr>
            <w:tcW w:type="dxa" w:w="61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4–10</w:t>
            </w:r>
          </w:p>
        </w:tc>
        <w:tc>
          <w:tcPr>
            <w:tcW w:type="dxa" w:w="151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Encaixe de formas</w:t>
            </w:r>
          </w:p>
        </w:tc>
        <w:tc>
          <w:tcPr>
            <w:tcW w:type="dxa" w:w="156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Peça encaixada</w:t>
            </w:r>
          </w:p>
        </w:tc>
        <w:tc>
          <w:tcPr>
            <w:tcW w:type="dxa" w:w="100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Ensino</w:t>
            </w:r>
          </w:p>
        </w:tc>
        <w:tc>
          <w:tcPr>
            <w:tcW w:type="dxa" w:w="117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Não indicado</w:t>
            </w:r>
          </w:p>
        </w:tc>
        <w:tc>
          <w:tcPr>
            <w:tcW w:type="dxa" w:w="235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Preferir encaixe físico para menores; registrar tentativas por peça</w:t>
            </w:r>
          </w:p>
        </w:tc>
      </w:tr>
      <w:tr>
        <w:trPr>
          <w:cantSplit/>
        </w:trPr>
        <w:tc>
          <w:tcPr>
            <w:tcW w:type="dxa" w:w="1400"/>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Torre Espelho</w:t>
            </w:r>
          </w:p>
        </w:tc>
        <w:tc>
          <w:tcPr>
            <w:tcW w:type="dxa" w:w="61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5–14</w:t>
            </w:r>
          </w:p>
        </w:tc>
        <w:tc>
          <w:tcPr>
            <w:tcW w:type="dxa" w:w="151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Planejamento espacial, cópia</w:t>
            </w:r>
          </w:p>
        </w:tc>
        <w:tc>
          <w:tcPr>
            <w:tcW w:type="dxa" w:w="156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Torre copiada</w:t>
            </w:r>
          </w:p>
        </w:tc>
        <w:tc>
          <w:tcPr>
            <w:tcW w:type="dxa" w:w="100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Ensino</w:t>
            </w:r>
          </w:p>
        </w:tc>
        <w:tc>
          <w:tcPr>
            <w:tcW w:type="dxa" w:w="117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Não indicado</w:t>
            </w:r>
          </w:p>
        </w:tc>
        <w:tc>
          <w:tcPr>
            <w:tcW w:type="dxa" w:w="235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Pontuação descritiva limitada a 0–100; manifesto clínico</w:t>
            </w:r>
          </w:p>
        </w:tc>
      </w:tr>
      <w:tr>
        <w:trPr>
          <w:cantSplit/>
        </w:trPr>
        <w:tc>
          <w:tcPr>
            <w:tcW w:type="dxa" w:w="140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Massinha Viva</w:t>
            </w:r>
          </w:p>
        </w:tc>
        <w:tc>
          <w:tcPr>
            <w:tcW w:type="dxa" w:w="61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3–10</w:t>
            </w:r>
          </w:p>
        </w:tc>
        <w:tc>
          <w:tcPr>
            <w:tcW w:type="dxa" w:w="151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Exploração, motricidade fina</w:t>
            </w:r>
          </w:p>
        </w:tc>
        <w:tc>
          <w:tcPr>
            <w:tcW w:type="dxa" w:w="156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Desafio de forma / atividade livre</w:t>
            </w:r>
          </w:p>
        </w:tc>
        <w:tc>
          <w:tcPr>
            <w:tcW w:type="dxa" w:w="100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Reforçador ou ocasião de mando</w:t>
            </w:r>
          </w:p>
        </w:tc>
        <w:tc>
          <w:tcPr>
            <w:tcW w:type="dxa" w:w="117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Não indicado (preferir massinha real)</w:t>
            </w:r>
          </w:p>
        </w:tc>
        <w:tc>
          <w:tcPr>
            <w:tcW w:type="dxa" w:w="235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Modo NET: profissional registra mandos (pedir cor, ferramenta)</w:t>
            </w:r>
          </w:p>
        </w:tc>
      </w:tr>
      <w:tr>
        <w:trPr>
          <w:cantSplit/>
        </w:trPr>
        <w:tc>
          <w:tcPr>
            <w:tcW w:type="dxa" w:w="1400"/>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História em Ordem</w:t>
            </w:r>
          </w:p>
        </w:tc>
        <w:tc>
          <w:tcPr>
            <w:tcW w:type="dxa" w:w="61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4–11</w:t>
            </w:r>
          </w:p>
        </w:tc>
        <w:tc>
          <w:tcPr>
            <w:tcW w:type="dxa" w:w="151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Sequenciamento; narrativa</w:t>
            </w:r>
          </w:p>
        </w:tc>
        <w:tc>
          <w:tcPr>
            <w:tcW w:type="dxa" w:w="156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História ordenada (posições corretas)</w:t>
            </w:r>
          </w:p>
        </w:tc>
        <w:tc>
          <w:tcPr>
            <w:tcW w:type="dxa" w:w="100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Ensino</w:t>
            </w:r>
          </w:p>
        </w:tc>
        <w:tc>
          <w:tcPr>
            <w:tcW w:type="dxa" w:w="117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Não indicado</w:t>
            </w:r>
          </w:p>
        </w:tc>
        <w:tc>
          <w:tcPr>
            <w:tcW w:type="dxa" w:w="235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Narração da criança pontuada pelo profissional como intraverbal</w:t>
            </w:r>
          </w:p>
        </w:tc>
      </w:tr>
      <w:tr>
        <w:trPr>
          <w:cantSplit/>
        </w:trPr>
        <w:tc>
          <w:tcPr>
            <w:tcW w:type="dxa" w:w="140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Jardim das Causas</w:t>
            </w:r>
          </w:p>
        </w:tc>
        <w:tc>
          <w:tcPr>
            <w:tcW w:type="dxa" w:w="61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4–10</w:t>
            </w:r>
          </w:p>
        </w:tc>
        <w:tc>
          <w:tcPr>
            <w:tcW w:type="dxa" w:w="151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Causa e efeito, resolução de problemas</w:t>
            </w:r>
          </w:p>
        </w:tc>
        <w:tc>
          <w:tcPr>
            <w:tcW w:type="dxa" w:w="156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Problema resolvido</w:t>
            </w:r>
          </w:p>
        </w:tc>
        <w:tc>
          <w:tcPr>
            <w:tcW w:type="dxa" w:w="100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Ensino</w:t>
            </w:r>
          </w:p>
        </w:tc>
        <w:tc>
          <w:tcPr>
            <w:tcW w:type="dxa" w:w="117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Não indicado</w:t>
            </w:r>
          </w:p>
        </w:tc>
        <w:tc>
          <w:tcPr>
            <w:tcW w:type="dxa" w:w="235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Integrar ao manifesto v2; níveis como fases</w:t>
            </w:r>
          </w:p>
        </w:tc>
      </w:tr>
      <w:tr>
        <w:trPr>
          <w:cantSplit/>
        </w:trPr>
        <w:tc>
          <w:tcPr>
            <w:tcW w:type="dxa" w:w="1400"/>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Pequeno Chef</w:t>
            </w:r>
          </w:p>
        </w:tc>
        <w:tc>
          <w:tcPr>
            <w:tcW w:type="dxa" w:w="61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5–12</w:t>
            </w:r>
          </w:p>
        </w:tc>
        <w:tc>
          <w:tcPr>
            <w:tcW w:type="dxa" w:w="151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Seguir instruções em sequência</w:t>
            </w:r>
          </w:p>
        </w:tc>
        <w:tc>
          <w:tcPr>
            <w:tcW w:type="dxa" w:w="156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Etapa da receita (cadeia)</w:t>
            </w:r>
          </w:p>
        </w:tc>
        <w:tc>
          <w:tcPr>
            <w:tcW w:type="dxa" w:w="100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Ensino (encadeamento)</w:t>
            </w:r>
          </w:p>
        </w:tc>
        <w:tc>
          <w:tcPr>
            <w:tcW w:type="dxa" w:w="117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Não indicado</w:t>
            </w:r>
          </w:p>
        </w:tc>
        <w:tc>
          <w:tcPr>
            <w:tcW w:type="dxa" w:w="235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Mapear etapas como passos de análise de tarefa; sondar receita real</w:t>
            </w:r>
          </w:p>
        </w:tc>
      </w:tr>
      <w:tr>
        <w:trPr>
          <w:cantSplit/>
        </w:trPr>
        <w:tc>
          <w:tcPr>
            <w:tcW w:type="dxa" w:w="140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Mercadinho</w:t>
            </w:r>
          </w:p>
        </w:tc>
        <w:tc>
          <w:tcPr>
            <w:tcW w:type="dxa" w:w="61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5–12</w:t>
            </w:r>
          </w:p>
        </w:tc>
        <w:tc>
          <w:tcPr>
            <w:tcW w:type="dxa" w:w="151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Habilidades funcionais, contagem, dinheiro</w:t>
            </w:r>
          </w:p>
        </w:tc>
        <w:tc>
          <w:tcPr>
            <w:tcW w:type="dxa" w:w="156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Item da lista; compra concluída</w:t>
            </w:r>
          </w:p>
        </w:tc>
        <w:tc>
          <w:tcPr>
            <w:tcW w:type="dxa" w:w="100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Ensino</w:t>
            </w:r>
          </w:p>
        </w:tc>
        <w:tc>
          <w:tcPr>
            <w:tcW w:type="dxa" w:w="117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Não indicado</w:t>
            </w:r>
          </w:p>
        </w:tc>
        <w:tc>
          <w:tcPr>
            <w:tcW w:type="dxa" w:w="235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Extensão para adolescentes (troco, orçamento); sondar em loja real com família</w:t>
            </w:r>
          </w:p>
        </w:tc>
      </w:tr>
      <w:tr>
        <w:trPr>
          <w:cantSplit/>
        </w:trPr>
        <w:tc>
          <w:tcPr>
            <w:tcW w:type="dxa" w:w="1400"/>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Separa e Guarda</w:t>
            </w:r>
          </w:p>
        </w:tc>
        <w:tc>
          <w:tcPr>
            <w:tcW w:type="dxa" w:w="61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4–12</w:t>
            </w:r>
          </w:p>
        </w:tc>
        <w:tc>
          <w:tcPr>
            <w:tcW w:type="dxa" w:w="151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Classificação, flexibilidade</w:t>
            </w:r>
          </w:p>
        </w:tc>
        <w:tc>
          <w:tcPr>
            <w:tcW w:type="dxa" w:w="156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Item guardado</w:t>
            </w:r>
          </w:p>
        </w:tc>
        <w:tc>
          <w:tcPr>
            <w:tcW w:type="dxa" w:w="100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Ensino</w:t>
            </w:r>
          </w:p>
        </w:tc>
        <w:tc>
          <w:tcPr>
            <w:tcW w:type="dxa" w:w="117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Não indicado</w:t>
            </w:r>
          </w:p>
        </w:tc>
        <w:tc>
          <w:tcPr>
            <w:tcW w:type="dxa" w:w="235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Mudança de regra como parâmetro de fase</w:t>
            </w:r>
          </w:p>
        </w:tc>
      </w:tr>
      <w:tr>
        <w:trPr>
          <w:cantSplit/>
        </w:trPr>
        <w:tc>
          <w:tcPr>
            <w:tcW w:type="dxa" w:w="140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Quem Está Sentindo?</w:t>
            </w:r>
          </w:p>
        </w:tc>
        <w:tc>
          <w:tcPr>
            <w:tcW w:type="dxa" w:w="61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5–14</w:t>
            </w:r>
          </w:p>
        </w:tc>
        <w:tc>
          <w:tcPr>
            <w:tcW w:type="dxa" w:w="151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Emoções em contexto</w:t>
            </w:r>
          </w:p>
        </w:tc>
        <w:tc>
          <w:tcPr>
            <w:tcW w:type="dxa" w:w="156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Cenário respondido</w:t>
            </w:r>
          </w:p>
        </w:tc>
        <w:tc>
          <w:tcPr>
            <w:tcW w:type="dxa" w:w="100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Ensino</w:t>
            </w:r>
          </w:p>
        </w:tc>
        <w:tc>
          <w:tcPr>
            <w:tcW w:type="dxa" w:w="117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Não indicado</w:t>
            </w:r>
          </w:p>
        </w:tc>
        <w:tc>
          <w:tcPr>
            <w:tcW w:type="dxa" w:w="235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Pontuação do profissional para explicações verbais</w:t>
            </w:r>
          </w:p>
        </w:tc>
      </w:tr>
      <w:tr>
        <w:trPr>
          <w:cantSplit/>
        </w:trPr>
        <w:tc>
          <w:tcPr>
            <w:tcW w:type="dxa" w:w="1400"/>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Regula</w:t>
            </w:r>
          </w:p>
        </w:tc>
        <w:tc>
          <w:tcPr>
            <w:tcW w:type="dxa" w:w="61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5–18</w:t>
            </w:r>
          </w:p>
        </w:tc>
        <w:tc>
          <w:tcPr>
            <w:tcW w:type="dxa" w:w="151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Autorregulação</w:t>
            </w:r>
          </w:p>
        </w:tc>
        <w:tc>
          <w:tcPr>
            <w:tcW w:type="dxa" w:w="156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Estratégia praticada</w:t>
            </w:r>
          </w:p>
        </w:tc>
        <w:tc>
          <w:tcPr>
            <w:tcW w:type="dxa" w:w="100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Regulação (plano de manejo)</w:t>
            </w:r>
          </w:p>
        </w:tc>
        <w:tc>
          <w:tcPr>
            <w:tcW w:type="dxa" w:w="117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Não indicado</w:t>
            </w:r>
          </w:p>
        </w:tc>
        <w:tc>
          <w:tcPr>
            <w:tcW w:type="dxa" w:w="235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Histórico local apenas como cache; vincular estratégia a alvo do plano</w:t>
            </w:r>
          </w:p>
        </w:tc>
      </w:tr>
      <w:tr>
        <w:trPr>
          <w:cantSplit/>
        </w:trPr>
        <w:tc>
          <w:tcPr>
            <w:tcW w:type="dxa" w:w="140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Missão Independência</w:t>
            </w:r>
          </w:p>
        </w:tc>
        <w:tc>
          <w:tcPr>
            <w:tcW w:type="dxa" w:w="61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12–18</w:t>
            </w:r>
          </w:p>
        </w:tc>
        <w:tc>
          <w:tcPr>
            <w:tcW w:type="dxa" w:w="151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AVD, autonomia</w:t>
            </w:r>
          </w:p>
        </w:tc>
        <w:tc>
          <w:tcPr>
            <w:tcW w:type="dxa" w:w="156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Passo de missão (cadeia)</w:t>
            </w:r>
          </w:p>
        </w:tc>
        <w:tc>
          <w:tcPr>
            <w:tcW w:type="dxa" w:w="100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Ensino (encadeamento, autogerenciamento)</w:t>
            </w:r>
          </w:p>
        </w:tc>
        <w:tc>
          <w:tcPr>
            <w:tcW w:type="dxa" w:w="117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Não se aplica (idade)</w:t>
            </w:r>
          </w:p>
        </w:tc>
        <w:tc>
          <w:tcPr>
            <w:tcW w:type="dxa" w:w="235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Manter autorrelato identificado como tal; vincular missões a alvos</w:t>
            </w:r>
          </w:p>
        </w:tc>
      </w:tr>
      <w:tr>
        <w:trPr>
          <w:cantSplit/>
        </w:trPr>
        <w:tc>
          <w:tcPr>
            <w:tcW w:type="dxa" w:w="1400"/>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Mochila Mental</w:t>
            </w:r>
          </w:p>
        </w:tc>
        <w:tc>
          <w:tcPr>
            <w:tcW w:type="dxa" w:w="61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6–14</w:t>
            </w:r>
          </w:p>
        </w:tc>
        <w:tc>
          <w:tcPr>
            <w:tcW w:type="dxa" w:w="151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Memória de trabalho</w:t>
            </w:r>
          </w:p>
        </w:tc>
        <w:tc>
          <w:tcPr>
            <w:tcW w:type="dxa" w:w="156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Rodada</w:t>
            </w:r>
          </w:p>
        </w:tc>
        <w:tc>
          <w:tcPr>
            <w:tcW w:type="dxa" w:w="100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Ensino</w:t>
            </w:r>
          </w:p>
        </w:tc>
        <w:tc>
          <w:tcPr>
            <w:tcW w:type="dxa" w:w="117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Não se aplica</w:t>
            </w:r>
          </w:p>
        </w:tc>
        <w:tc>
          <w:tcPr>
            <w:tcW w:type="dxa" w:w="235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Não apresentar como teste neuropsicológico</w:t>
            </w:r>
          </w:p>
        </w:tc>
      </w:tr>
      <w:tr>
        <w:trPr>
          <w:cantSplit/>
        </w:trPr>
        <w:tc>
          <w:tcPr>
            <w:tcW w:type="dxa" w:w="140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Farol do Foco</w:t>
            </w:r>
          </w:p>
        </w:tc>
        <w:tc>
          <w:tcPr>
            <w:tcW w:type="dxa" w:w="61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6–14</w:t>
            </w:r>
          </w:p>
        </w:tc>
        <w:tc>
          <w:tcPr>
            <w:tcW w:type="dxa" w:w="151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Atenção sustentada (go/no-go)</w:t>
            </w:r>
          </w:p>
        </w:tc>
        <w:tc>
          <w:tcPr>
            <w:tcW w:type="dxa" w:w="156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Estímulo (acerto, omissão, comissão)</w:t>
            </w:r>
          </w:p>
        </w:tc>
        <w:tc>
          <w:tcPr>
            <w:tcW w:type="dxa" w:w="100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Ensino</w:t>
            </w:r>
          </w:p>
        </w:tc>
        <w:tc>
          <w:tcPr>
            <w:tcW w:type="dxa" w:w="117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Não se aplica</w:t>
            </w:r>
          </w:p>
        </w:tc>
        <w:tc>
          <w:tcPr>
            <w:tcW w:type="dxa" w:w="235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Idem: não é instrumento de avaliação</w:t>
            </w:r>
          </w:p>
        </w:tc>
      </w:tr>
      <w:tr>
        <w:trPr>
          <w:cantSplit/>
        </w:trPr>
        <w:tc>
          <w:tcPr>
            <w:tcW w:type="dxa" w:w="1400"/>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Semáforo</w:t>
            </w:r>
          </w:p>
        </w:tc>
        <w:tc>
          <w:tcPr>
            <w:tcW w:type="dxa" w:w="61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6–14</w:t>
            </w:r>
          </w:p>
        </w:tc>
        <w:tc>
          <w:tcPr>
            <w:tcW w:type="dxa" w:w="151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Controle inibitório</w:t>
            </w:r>
          </w:p>
        </w:tc>
        <w:tc>
          <w:tcPr>
            <w:tcW w:type="dxa" w:w="156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Estímulo</w:t>
            </w:r>
          </w:p>
        </w:tc>
        <w:tc>
          <w:tcPr>
            <w:tcW w:type="dxa" w:w="100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Ensino</w:t>
            </w:r>
          </w:p>
        </w:tc>
        <w:tc>
          <w:tcPr>
            <w:tcW w:type="dxa" w:w="117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Não se aplica</w:t>
            </w:r>
          </w:p>
        </w:tc>
        <w:tc>
          <w:tcPr>
            <w:tcW w:type="dxa" w:w="235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Idem</w:t>
            </w:r>
          </w:p>
        </w:tc>
      </w:tr>
      <w:tr>
        <w:trPr>
          <w:cantSplit/>
        </w:trPr>
        <w:tc>
          <w:tcPr>
            <w:tcW w:type="dxa" w:w="140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Troca-Troca</w:t>
            </w:r>
          </w:p>
        </w:tc>
        <w:tc>
          <w:tcPr>
            <w:tcW w:type="dxa" w:w="61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7–14</w:t>
            </w:r>
          </w:p>
        </w:tc>
        <w:tc>
          <w:tcPr>
            <w:tcW w:type="dxa" w:w="151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Flexibilidade (troca de regra)</w:t>
            </w:r>
          </w:p>
        </w:tc>
        <w:tc>
          <w:tcPr>
            <w:tcW w:type="dxa" w:w="156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Item processado sob regra vigente</w:t>
            </w:r>
          </w:p>
        </w:tc>
        <w:tc>
          <w:tcPr>
            <w:tcW w:type="dxa" w:w="100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Ensino</w:t>
            </w:r>
          </w:p>
        </w:tc>
        <w:tc>
          <w:tcPr>
            <w:tcW w:type="dxa" w:w="117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Não se aplica</w:t>
            </w:r>
          </w:p>
        </w:tc>
        <w:tc>
          <w:tcPr>
            <w:tcW w:type="dxa" w:w="235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Idem</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BA084" w:sz="24"/>
              <w:bottom w:val="none" w:color="FFFFFF" w:sz="0"/>
              <w:right w:val="none" w:color="FFFFFF" w:sz="0"/>
            </w:tcBorders>
            <w:shd w:fill="E8F2EC" w:color="auto" w:val="clear"/>
            <w:tcMar>
              <w:top w:type="dxa" w:w="140"/>
              <w:left w:type="dxa" w:w="220"/>
              <w:bottom w:type="dxa" w:w="120"/>
              <w:right w:type="dxa" w:w="200"/>
            </w:tcMar>
          </w:tcPr>
          <w:p>
            <w:pPr>
              <w:spacing w:after="80"/>
            </w:pPr>
            <w:r>
              <w:rPr>
                <w:b/>
                <w:bCs/>
                <w:color w:val="6BA084"/>
                <w:sz w:val="20"/>
                <w:szCs w:val="20"/>
              </w:rPr>
              <w:t xml:space="preserve">Requisitos comuns a todos os jogos</w:t>
            </w:r>
          </w:p>
          <w:p>
            <w:pPr>
              <w:spacing w:after="70" w:line="280"/>
            </w:pPr>
            <w:r>
              <w:rPr>
                <w:sz w:val="19"/>
                <w:szCs w:val="19"/>
              </w:rPr>
              <w:t xml:space="preserve">Publicar manifesto e esquemas de evento; receber alvos e estímulos do </w:t>
            </w:r>
            <w:r>
              <w:rPr>
                <w:rFonts w:ascii="Courier New" w:cs="Courier New" w:eastAsia="Courier New" w:hAnsi="Courier New"/>
                <w:sz w:val="19"/>
                <w:szCs w:val="19"/>
              </w:rPr>
              <w:t xml:space="preserve">SESSION_CONFIG</w:t>
            </w:r>
            <w:r>
              <w:rPr>
                <w:sz w:val="19"/>
                <w:szCs w:val="19"/>
              </w:rPr>
              <w:t xml:space="preserve"> em vez de conteúdo fixo; suportar o modo de pontuação pelo profissional; aplicar a adaptação sensorial recebida (movimento reduzido, som, número máximo de opções); remover pontuação exibida em forma competitiva e mensagens de conquista comparativa; validar os eventos no CI contra o esquema publicado; e passar pela checagem de toque e sobreposição já adotada pelo projeto.</w:t>
            </w:r>
          </w:p>
        </w:tc>
      </w:tr>
    </w:tbl>
    <w:p>
      <w:pPr>
        <w:spacing w:after="120"/>
      </w:pPr>
    </w:p>
    <w:p>
      <w:pPr>
        <w:spacing w:after="140" w:before="0" w:line="300"/>
        <w:jc w:val="left"/>
      </w:pPr>
      <w:r>
        <w:t xml:space="preserve">Uma observação sobre os casos Denver merece destaque. O ESDM se apoia em materiais reais, em interação face a face e em rotinas centradas no corpo. Por isso, na especificação, a maioria dos jogos aparece como “não indicado” para casos Denver. Os poucos marcados como “rotina conjunta possível” podem ser usados, a partir dos 2 anos e com tempo limitado, como uma rotina de atividade conjunta em que adulto e criança compartilham o tablet e alternam turnos; nesse caso, o registro é o de rotina Denver (passos observados), e não o de tentativas do jogo. Essa é a forma de respeitar ao mesmo tempo o modelo e a regra de não hibridização.</w:t>
      </w:r>
    </w:p>
    <w:p>
      <w:pPr>
        <w:pStyle w:val="Heading2"/>
        <w:keepNext/>
      </w:pPr>
      <w:r>
        <w:t xml:space="preserve">9.4 Novos recursos propostos</w:t>
      </w:r>
    </w:p>
    <w:p>
      <w:pPr>
        <w:spacing w:after="140" w:before="0" w:line="300"/>
        <w:jc w:val="left"/>
      </w:pPr>
      <w:r>
        <w:t xml:space="preserve">Os recursos abaixo preenchem lacunas identificadas no catálogo: operantes verbais sem cobertura, ferramentas de apoio visual, ferramentas do terapeuta para a primeira infância e conteúdo para adolescentes. A coluna de evidência indica a prática do relatório NCAEP 2020 à qual o recurso se filia.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26"/>
        <w:gridCol w:w="963"/>
        <w:gridCol w:w="1144"/>
        <w:gridCol w:w="3975"/>
        <w:gridCol w:w="1930"/>
      </w:tblGrid>
      <w:tr>
        <w:trPr>
          <w:tblHeader/>
        </w:trPr>
        <w:tc>
          <w:tcPr>
            <w:tcW w:type="dxa" w:w="1626"/>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Recurso</w:t>
            </w:r>
          </w:p>
        </w:tc>
        <w:tc>
          <w:tcPr>
            <w:tcW w:type="dxa" w:w="963"/>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Faixa</w:t>
            </w:r>
          </w:p>
        </w:tc>
        <w:tc>
          <w:tcPr>
            <w:tcW w:type="dxa" w:w="1144"/>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Tipo</w:t>
            </w:r>
          </w:p>
        </w:tc>
        <w:tc>
          <w:tcPr>
            <w:tcW w:type="dxa" w:w="3975"/>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Descrição e regras</w:t>
            </w:r>
          </w:p>
        </w:tc>
        <w:tc>
          <w:tcPr>
            <w:tcW w:type="dxa" w:w="1930"/>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Prática NCAEP relacionada</w:t>
            </w:r>
          </w:p>
        </w:tc>
      </w:tr>
      <w:tr>
        <w:trPr>
          <w:cantSplit/>
        </w:trPr>
        <w:tc>
          <w:tcPr>
            <w:tcW w:type="dxa" w:w="162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Prancha PsicoFala</w:t>
            </w:r>
          </w:p>
        </w:tc>
        <w:tc>
          <w:tcPr>
            <w:tcW w:type="dxa" w:w="96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Todas</w:t>
            </w:r>
          </w:p>
        </w:tc>
        <w:tc>
          <w:tcPr>
            <w:tcW w:type="dxa" w:w="114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Comunicação</w:t>
            </w:r>
          </w:p>
        </w:tc>
        <w:tc>
          <w:tcPr>
            <w:tcW w:type="dxa" w:w="397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Prancha de comunicação com símbolos Mulberry e fotos próprias, voz sintetizada natural em português, organização por categorias e núcleo de vocabulário, importação e exportação OBF. Cada toque pode ser registrado como mando em alvo ativo. Abaixo de 2 anos, a plataforma gera a versão impressa (baixa tecnologia). Como tecnologia assistiva indicada pelo responsável técnico, não é contabilizada como tempo de tela recreativo.</w:t>
            </w:r>
          </w:p>
        </w:tc>
        <w:tc>
          <w:tcPr>
            <w:tcW w:type="dxa" w:w="193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Augmentative and Alternative Communication; Functional Communication Training</w:t>
            </w:r>
          </w:p>
        </w:tc>
      </w:tr>
      <w:tr>
        <w:trPr>
          <w:cantSplit/>
        </w:trPr>
        <w:tc>
          <w:tcPr>
            <w:tcW w:type="dxa" w:w="162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Agenda Visual e Primeiro/Depois</w:t>
            </w:r>
          </w:p>
        </w:tc>
        <w:tc>
          <w:tcPr>
            <w:tcW w:type="dxa" w:w="963"/>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2+</w:t>
            </w:r>
          </w:p>
        </w:tc>
        <w:tc>
          <w:tcPr>
            <w:tcW w:type="dxa" w:w="1144"/>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Apoio visual</w:t>
            </w:r>
          </w:p>
        </w:tc>
        <w:tc>
          <w:tcPr>
            <w:tcW w:type="dxa" w:w="3975"/>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Sequência da sessão ou da rotina em figuras, com marcação de concluído; quadro primeiro/depois para transições. Gerada automaticamente a partir da sessão montada.</w:t>
            </w:r>
          </w:p>
        </w:tc>
        <w:tc>
          <w:tcPr>
            <w:tcW w:type="dxa" w:w="1930"/>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Visual Supports</w:t>
            </w:r>
          </w:p>
        </w:tc>
      </w:tr>
      <w:tr>
        <w:trPr>
          <w:cantSplit/>
        </w:trPr>
        <w:tc>
          <w:tcPr>
            <w:tcW w:type="dxa" w:w="162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Quadro de Fichas</w:t>
            </w:r>
          </w:p>
        </w:tc>
        <w:tc>
          <w:tcPr>
            <w:tcW w:type="dxa" w:w="96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3+</w:t>
            </w:r>
          </w:p>
        </w:tc>
        <w:tc>
          <w:tcPr>
            <w:tcW w:type="dxa" w:w="114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Reforçamento</w:t>
            </w:r>
          </w:p>
        </w:tc>
        <w:tc>
          <w:tcPr>
            <w:tcW w:type="dxa" w:w="397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Economia de fichas configurável, com reforçador de troca escolhido e visível antes do início.</w:t>
            </w:r>
          </w:p>
        </w:tc>
        <w:tc>
          <w:tcPr>
            <w:tcW w:type="dxa" w:w="193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Reinforcement</w:t>
            </w:r>
          </w:p>
        </w:tc>
      </w:tr>
      <w:tr>
        <w:trPr>
          <w:cantSplit/>
        </w:trPr>
        <w:tc>
          <w:tcPr>
            <w:tcW w:type="dxa" w:w="162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Timer Visual de Transição</w:t>
            </w:r>
          </w:p>
        </w:tc>
        <w:tc>
          <w:tcPr>
            <w:tcW w:type="dxa" w:w="963"/>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2+</w:t>
            </w:r>
          </w:p>
        </w:tc>
        <w:tc>
          <w:tcPr>
            <w:tcW w:type="dxa" w:w="1144"/>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Apoio visual</w:t>
            </w:r>
          </w:p>
        </w:tc>
        <w:tc>
          <w:tcPr>
            <w:tcW w:type="dxa" w:w="3975"/>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Cronômetro em disco que diminui, com aviso sonoro opcional; usado para fim de reforçador de tela e transições.</w:t>
            </w:r>
          </w:p>
        </w:tc>
        <w:tc>
          <w:tcPr>
            <w:tcW w:type="dxa" w:w="1930"/>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Visual Supports; Antecedent-Based Interventions</w:t>
            </w:r>
          </w:p>
        </w:tc>
      </w:tr>
      <w:tr>
        <w:trPr>
          <w:cantSplit/>
        </w:trPr>
        <w:tc>
          <w:tcPr>
            <w:tcW w:type="dxa" w:w="162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MSWO Digital</w:t>
            </w:r>
          </w:p>
        </w:tc>
        <w:tc>
          <w:tcPr>
            <w:tcW w:type="dxa" w:w="96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3+ (com pré-requisito)</w:t>
            </w:r>
          </w:p>
        </w:tc>
        <w:tc>
          <w:tcPr>
            <w:tcW w:type="dxa" w:w="114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Avaliação</w:t>
            </w:r>
          </w:p>
        </w:tc>
        <w:tc>
          <w:tcPr>
            <w:tcW w:type="dxa" w:w="397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Avaliação de preferência por figuras ou vídeos curtos, com rodadas sem reposição e cálculo da hierarquia. Liberada apenas após sonda de identificação de figuras.</w:t>
            </w:r>
          </w:p>
        </w:tc>
        <w:tc>
          <w:tcPr>
            <w:tcW w:type="dxa" w:w="193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Reinforcement (avaliação de preferência)</w:t>
            </w:r>
          </w:p>
        </w:tc>
      </w:tr>
      <w:tr>
        <w:trPr>
          <w:cantSplit/>
        </w:trPr>
        <w:tc>
          <w:tcPr>
            <w:tcW w:type="dxa" w:w="162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Me Mostra</w:t>
            </w:r>
          </w:p>
        </w:tc>
        <w:tc>
          <w:tcPr>
            <w:tcW w:type="dxa" w:w="963"/>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2+</w:t>
            </w:r>
          </w:p>
        </w:tc>
        <w:tc>
          <w:tcPr>
            <w:tcW w:type="dxa" w:w="1144"/>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Ensino: ouvinte</w:t>
            </w:r>
          </w:p>
        </w:tc>
        <w:tc>
          <w:tcPr>
            <w:tcW w:type="dxa" w:w="3975"/>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Seleção da figura nomeada usando fotos de objetos da casa da criança (com consentimento) e de objetos genéricos, para promover generalização.</w:t>
            </w:r>
          </w:p>
        </w:tc>
        <w:tc>
          <w:tcPr>
            <w:tcW w:type="dxa" w:w="1930"/>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Discrete Trial Training; Prompting</w:t>
            </w:r>
          </w:p>
        </w:tc>
      </w:tr>
      <w:tr>
        <w:trPr>
          <w:cantSplit/>
        </w:trPr>
        <w:tc>
          <w:tcPr>
            <w:tcW w:type="dxa" w:w="162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O Que É?</w:t>
            </w:r>
          </w:p>
        </w:tc>
        <w:tc>
          <w:tcPr>
            <w:tcW w:type="dxa" w:w="96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2+</w:t>
            </w:r>
          </w:p>
        </w:tc>
        <w:tc>
          <w:tcPr>
            <w:tcW w:type="dxa" w:w="114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Ensino: tato</w:t>
            </w:r>
          </w:p>
        </w:tc>
        <w:tc>
          <w:tcPr>
            <w:tcW w:type="dxa" w:w="397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O tablet apresenta a figura; o profissional pontua a resposta vocal (ou por sinal) no dispositivo pareado. Sem reconhecimento automático de fala.</w:t>
            </w:r>
          </w:p>
        </w:tc>
        <w:tc>
          <w:tcPr>
            <w:tcW w:type="dxa" w:w="193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Discrete Trial Training; Time Delay</w:t>
            </w:r>
          </w:p>
        </w:tc>
      </w:tr>
      <w:tr>
        <w:trPr>
          <w:cantSplit/>
        </w:trPr>
        <w:tc>
          <w:tcPr>
            <w:tcW w:type="dxa" w:w="162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Imitação em Vídeo</w:t>
            </w:r>
          </w:p>
        </w:tc>
        <w:tc>
          <w:tcPr>
            <w:tcW w:type="dxa" w:w="963"/>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2+</w:t>
            </w:r>
          </w:p>
        </w:tc>
        <w:tc>
          <w:tcPr>
            <w:tcW w:type="dxa" w:w="1144"/>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Ensino: imitação</w:t>
            </w:r>
          </w:p>
        </w:tc>
        <w:tc>
          <w:tcPr>
            <w:tcW w:type="dxa" w:w="3975"/>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Vídeos curtos de modelo (adulto ou par, com consentimento) realizando ação motora ou com objeto; o profissional pontua a imitação.</w:t>
            </w:r>
          </w:p>
        </w:tc>
        <w:tc>
          <w:tcPr>
            <w:tcW w:type="dxa" w:w="1930"/>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Video Modeling; Modeling</w:t>
            </w:r>
          </w:p>
        </w:tc>
      </w:tr>
      <w:tr>
        <w:trPr>
          <w:cantSplit/>
        </w:trPr>
        <w:tc>
          <w:tcPr>
            <w:tcW w:type="dxa" w:w="162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Completa a Frase</w:t>
            </w:r>
          </w:p>
        </w:tc>
        <w:tc>
          <w:tcPr>
            <w:tcW w:type="dxa" w:w="96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3+</w:t>
            </w:r>
          </w:p>
        </w:tc>
        <w:tc>
          <w:tcPr>
            <w:tcW w:type="dxa" w:w="114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Ensino: intraverbal</w:t>
            </w:r>
          </w:p>
        </w:tc>
        <w:tc>
          <w:tcPr>
            <w:tcW w:type="dxa" w:w="397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Lacunas em frases e cantigas de domínio público ou autorais, com áudio. Pontuação pelo profissional.</w:t>
            </w:r>
          </w:p>
        </w:tc>
        <w:tc>
          <w:tcPr>
            <w:tcW w:type="dxa" w:w="193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Discrete Trial Training</w:t>
            </w:r>
          </w:p>
        </w:tc>
      </w:tr>
      <w:tr>
        <w:trPr>
          <w:cantSplit/>
        </w:trPr>
        <w:tc>
          <w:tcPr>
            <w:tcW w:type="dxa" w:w="162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Construtor de Histórias Sociais</w:t>
            </w:r>
          </w:p>
        </w:tc>
        <w:tc>
          <w:tcPr>
            <w:tcW w:type="dxa" w:w="963"/>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4+</w:t>
            </w:r>
          </w:p>
        </w:tc>
        <w:tc>
          <w:tcPr>
            <w:tcW w:type="dxa" w:w="1144"/>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Apoio</w:t>
            </w:r>
          </w:p>
        </w:tc>
        <w:tc>
          <w:tcPr>
            <w:tcW w:type="dxa" w:w="3975"/>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Modelo guiado para criar narrativa social personalizada com fotos e símbolos, para ler com a criança antes de situações previstas.</w:t>
            </w:r>
          </w:p>
        </w:tc>
        <w:tc>
          <w:tcPr>
            <w:tcW w:type="dxa" w:w="1930"/>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Social Narratives</w:t>
            </w:r>
          </w:p>
        </w:tc>
      </w:tr>
      <w:tr>
        <w:trPr>
          <w:cantSplit/>
        </w:trPr>
        <w:tc>
          <w:tcPr>
            <w:tcW w:type="dxa" w:w="162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Causa e Efeito Compartilhado</w:t>
            </w:r>
          </w:p>
        </w:tc>
        <w:tc>
          <w:tcPr>
            <w:tcW w:type="dxa" w:w="96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2–3</w:t>
            </w:r>
          </w:p>
        </w:tc>
        <w:tc>
          <w:tcPr>
            <w:tcW w:type="dxa" w:w="114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Rotina conjunta</w:t>
            </w:r>
          </w:p>
        </w:tc>
        <w:tc>
          <w:tcPr>
            <w:tcW w:type="dxa" w:w="397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Toques grandes produzem efeito visual e sonoro breve e previsível; feito para o adulto usar junto com a criança, em blocos de no máximo 3 minutos, como abertura de interação. Nunca autônomo.</w:t>
            </w:r>
          </w:p>
        </w:tc>
        <w:tc>
          <w:tcPr>
            <w:tcW w:type="dxa" w:w="193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Naturalistic Intervention (como recurso pontual)</w:t>
            </w:r>
          </w:p>
        </w:tc>
      </w:tr>
      <w:tr>
        <w:trPr>
          <w:cantSplit/>
        </w:trPr>
        <w:tc>
          <w:tcPr>
            <w:tcW w:type="dxa" w:w="162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Brincar Juntos</w:t>
            </w:r>
          </w:p>
        </w:tc>
        <w:tc>
          <w:tcPr>
            <w:tcW w:type="dxa" w:w="963"/>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5+</w:t>
            </w:r>
          </w:p>
        </w:tc>
        <w:tc>
          <w:tcPr>
            <w:tcW w:type="dxa" w:w="1144"/>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Pares</w:t>
            </w:r>
          </w:p>
        </w:tc>
        <w:tc>
          <w:tcPr>
            <w:tcW w:type="dxa" w:w="3975"/>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Jogos cooperativos para dois jogadores na mesma tela, com turnos e objetivo comum; registra iniciações e respostas ao par.</w:t>
            </w:r>
          </w:p>
        </w:tc>
        <w:tc>
          <w:tcPr>
            <w:tcW w:type="dxa" w:w="1930"/>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Peer-Based Instruction and Intervention</w:t>
            </w:r>
          </w:p>
        </w:tc>
      </w:tr>
      <w:tr>
        <w:trPr>
          <w:cantSplit/>
        </w:trPr>
        <w:tc>
          <w:tcPr>
            <w:tcW w:type="dxa" w:w="162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Conversa em Turnos</w:t>
            </w:r>
          </w:p>
        </w:tc>
        <w:tc>
          <w:tcPr>
            <w:tcW w:type="dxa" w:w="96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8+</w:t>
            </w:r>
          </w:p>
        </w:tc>
        <w:tc>
          <w:tcPr>
            <w:tcW w:type="dxa" w:w="114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Social</w:t>
            </w:r>
          </w:p>
        </w:tc>
        <w:tc>
          <w:tcPr>
            <w:tcW w:type="dxa" w:w="397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Roteiros conversacionais com esvanecimento progressivo do texto, a partir do procedimento de esvanecimento de roteiros descrito por Krantz e McClannahan (1993).</w:t>
            </w:r>
          </w:p>
        </w:tc>
        <w:tc>
          <w:tcPr>
            <w:tcW w:type="dxa" w:w="193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Social Skills Training; Prompting</w:t>
            </w:r>
          </w:p>
        </w:tc>
      </w:tr>
      <w:tr>
        <w:trPr>
          <w:cantSplit/>
        </w:trPr>
        <w:tc>
          <w:tcPr>
            <w:tcW w:type="dxa" w:w="162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Meu Dia (adolescentes)</w:t>
            </w:r>
          </w:p>
        </w:tc>
        <w:tc>
          <w:tcPr>
            <w:tcW w:type="dxa" w:w="963"/>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12+</w:t>
            </w:r>
          </w:p>
        </w:tc>
        <w:tc>
          <w:tcPr>
            <w:tcW w:type="dxa" w:w="1144"/>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Autogerenciamento</w:t>
            </w:r>
          </w:p>
        </w:tc>
        <w:tc>
          <w:tcPr>
            <w:tcW w:type="dxa" w:w="3975"/>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Planejador de rotina e AVD com automonitoramento e lembretes configurados pelo próprio adolescente com apoio da família; dados alimentam alvos de autogerenciamento.</w:t>
            </w:r>
          </w:p>
        </w:tc>
        <w:tc>
          <w:tcPr>
            <w:tcW w:type="dxa" w:w="1930"/>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Self-Management; Task Analysis</w:t>
            </w:r>
          </w:p>
        </w:tc>
      </w:tr>
      <w:tr>
        <w:trPr>
          <w:cantSplit/>
        </w:trPr>
        <w:tc>
          <w:tcPr>
            <w:tcW w:type="dxa" w:w="162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Dinheiro e Troco</w:t>
            </w:r>
          </w:p>
        </w:tc>
        <w:tc>
          <w:tcPr>
            <w:tcW w:type="dxa" w:w="96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10+</w:t>
            </w:r>
          </w:p>
        </w:tc>
        <w:tc>
          <w:tcPr>
            <w:tcW w:type="dxa" w:w="114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Funcional</w:t>
            </w:r>
          </w:p>
        </w:tc>
        <w:tc>
          <w:tcPr>
            <w:tcW w:type="dxa" w:w="397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Extensão do Mercadinho com valores reais, troco e orçamento simples.</w:t>
            </w:r>
          </w:p>
        </w:tc>
        <w:tc>
          <w:tcPr>
            <w:tcW w:type="dxa" w:w="193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Technology-Aided Instruction; Task Analysis</w:t>
            </w:r>
          </w:p>
        </w:tc>
      </w:tr>
      <w:tr>
        <w:trPr>
          <w:cantSplit/>
        </w:trPr>
        <w:tc>
          <w:tcPr>
            <w:tcW w:type="dxa" w:w="162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Folha Denver Digital</w:t>
            </w:r>
          </w:p>
        </w:tc>
        <w:tc>
          <w:tcPr>
            <w:tcW w:type="dxa" w:w="963"/>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Ferramenta do terapeuta</w:t>
            </w:r>
          </w:p>
        </w:tc>
        <w:tc>
          <w:tcPr>
            <w:tcW w:type="dxa" w:w="1144"/>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Registro</w:t>
            </w:r>
          </w:p>
        </w:tc>
        <w:tc>
          <w:tcPr>
            <w:tcW w:type="dxa" w:w="3975"/>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Tela de registro por rotina e intervalo para casos Denver (Seção 10.5). Não é jogo e não aparece para a criança.</w:t>
            </w:r>
          </w:p>
        </w:tc>
        <w:tc>
          <w:tcPr>
            <w:tcW w:type="dxa" w:w="1930"/>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w:t>
            </w:r>
          </w:p>
        </w:tc>
      </w:tr>
      <w:tr>
        <w:trPr>
          <w:cantSplit/>
        </w:trPr>
        <w:tc>
          <w:tcPr>
            <w:tcW w:type="dxa" w:w="162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Contador Rápido de Comportamento</w:t>
            </w:r>
          </w:p>
        </w:tc>
        <w:tc>
          <w:tcPr>
            <w:tcW w:type="dxa" w:w="96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Ferramenta do terapeuta</w:t>
            </w:r>
          </w:p>
        </w:tc>
        <w:tc>
          <w:tcPr>
            <w:tcW w:type="dxa" w:w="114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Registro</w:t>
            </w:r>
          </w:p>
        </w:tc>
        <w:tc>
          <w:tcPr>
            <w:tcW w:type="dxa" w:w="397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Widget sempre acessível na tela de aplicação para frequência, duração e intervalo do comportamento definido.</w:t>
            </w:r>
          </w:p>
        </w:tc>
        <w:tc>
          <w:tcPr>
            <w:tcW w:type="dxa" w:w="193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Functional Behavior Assessment (coleta)</w:t>
            </w:r>
          </w:p>
        </w:tc>
      </w:tr>
      <w:tr>
        <w:trPr>
          <w:cantSplit/>
        </w:trPr>
        <w:tc>
          <w:tcPr>
            <w:tcW w:type="dxa" w:w="162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Orientação em Vídeo para Famílias</w:t>
            </w:r>
          </w:p>
        </w:tc>
        <w:tc>
          <w:tcPr>
            <w:tcW w:type="dxa" w:w="963"/>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Ferramenta da família</w:t>
            </w:r>
          </w:p>
        </w:tc>
        <w:tc>
          <w:tcPr>
            <w:tcW w:type="dxa" w:w="1144"/>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Orientação parental</w:t>
            </w:r>
          </w:p>
        </w:tc>
        <w:tc>
          <w:tcPr>
            <w:tcW w:type="dxa" w:w="3975"/>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Vídeos curtos para o adulto, por modelo do caso, mostrando como criar oportunidades em rotinas da casa. Para menores de 2 anos, é o principal conteúdo digital da plataforma.</w:t>
            </w:r>
          </w:p>
        </w:tc>
        <w:tc>
          <w:tcPr>
            <w:tcW w:type="dxa" w:w="1930"/>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Parent-Implemented Intervention</w:t>
            </w:r>
          </w:p>
        </w:tc>
      </w:tr>
    </w:tbl>
    <w:p>
      <w:pPr>
        <w:spacing w:after="120"/>
      </w:pPr>
    </w:p>
    <w:p>
      <w:pPr>
        <w:pStyle w:val="Heading2"/>
        <w:keepNext/>
      </w:pPr>
      <w:r>
        <w:t xml:space="preserve">9.5 Materiais imprimíveis</w:t>
      </w:r>
    </w:p>
    <w:p>
      <w:pPr>
        <w:spacing w:after="140" w:before="0" w:line="300"/>
        <w:jc w:val="left"/>
      </w:pPr>
      <w:r>
        <w:t xml:space="preserve">Todo conjunto de estímulos gera, sob demanda, materiais em PDF prontos para impressão: cartões de estímulo em tamanhos padronizados, pranchas de comunicação de baixa tecnologia, agendas visuais e quadros de fichas em papel, e folhas de registro de mesa com código QR que identifica sessão, alvo e estímulos. A folha impressa permite registrar com caneta em situações em que o dispositivo não é adequado (piscina, parque, refeitório), e o QR acelera a transcrição posterior para a plataforma. Isso reconhece que nem toda aplicação deve ser feita com tela na mão do terapeuta.</w:t>
      </w:r>
    </w:p>
    <w:p>
      <w:pPr>
        <w:pStyle w:val="Heading2"/>
        <w:keepNext/>
      </w:pPr>
      <w:r>
        <w:t xml:space="preserve">9.6 Acervo de estímulos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36"/>
        <w:gridCol w:w="3804"/>
        <w:gridCol w:w="3298"/>
      </w:tblGrid>
      <w:tr>
        <w:trPr>
          <w:tblHeader/>
        </w:trPr>
        <w:tc>
          <w:tcPr>
            <w:tcW w:type="dxa" w:w="2536"/>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Fonte</w:t>
            </w:r>
          </w:p>
        </w:tc>
        <w:tc>
          <w:tcPr>
            <w:tcW w:type="dxa" w:w="3804"/>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Uso</w:t>
            </w:r>
          </w:p>
        </w:tc>
        <w:tc>
          <w:tcPr>
            <w:tcW w:type="dxa" w:w="3298"/>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Cuidados</w:t>
            </w:r>
          </w:p>
        </w:tc>
      </w:tr>
      <w:tr>
        <w:trPr>
          <w:cantSplit/>
        </w:trPr>
        <w:tc>
          <w:tcPr>
            <w:tcW w:type="dxa" w:w="253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Fotografias próprias de objetos do cotidiano brasileiro</w:t>
            </w:r>
          </w:p>
        </w:tc>
        <w:tc>
          <w:tcPr>
            <w:tcW w:type="dxa" w:w="380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Pareamento, ouvinte e tato com objetos reais em fundo neutro, com variações (cor, ângulo, marca) para generalização</w:t>
            </w:r>
          </w:p>
        </w:tc>
        <w:tc>
          <w:tcPr>
            <w:tcW w:type="dxa" w:w="329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Produção pela equipe, com direitos cedidos; padrão técnico de iluminação e fundo</w:t>
            </w:r>
          </w:p>
        </w:tc>
      </w:tr>
      <w:tr>
        <w:trPr>
          <w:cantSplit/>
        </w:trPr>
        <w:tc>
          <w:tcPr>
            <w:tcW w:type="dxa" w:w="253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Fotos de itens da casa da criança</w:t>
            </w:r>
          </w:p>
        </w:tc>
        <w:tc>
          <w:tcPr>
            <w:tcW w:type="dxa" w:w="3804"/>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Generalização e personalização</w:t>
            </w:r>
          </w:p>
        </w:tc>
        <w:tc>
          <w:tcPr>
            <w:tcW w:type="dxa" w:w="329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Consentimento específico; armazenamento cifrado vinculado ao caso; exclusão ao fim do caso, salvo guarda obrigatória</w:t>
            </w:r>
          </w:p>
        </w:tc>
      </w:tr>
      <w:tr>
        <w:trPr>
          <w:cantSplit/>
        </w:trPr>
        <w:tc>
          <w:tcPr>
            <w:tcW w:type="dxa" w:w="253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Símbolos Mulberry</w:t>
            </w:r>
          </w:p>
        </w:tc>
        <w:tc>
          <w:tcPr>
            <w:tcW w:type="dxa" w:w="380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Prancha de comunicação e apoios visuais</w:t>
            </w:r>
          </w:p>
        </w:tc>
        <w:tc>
          <w:tcPr>
            <w:tcW w:type="dxa" w:w="329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CC BY-SA 4.0 com atribuição</w:t>
            </w:r>
          </w:p>
        </w:tc>
      </w:tr>
      <w:tr>
        <w:trPr>
          <w:cantSplit/>
        </w:trPr>
        <w:tc>
          <w:tcPr>
            <w:tcW w:type="dxa" w:w="253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Ilustrações próprias</w:t>
            </w:r>
          </w:p>
        </w:tc>
        <w:tc>
          <w:tcPr>
            <w:tcW w:type="dxa" w:w="3804"/>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Jogos, personagens, cenários</w:t>
            </w:r>
          </w:p>
        </w:tc>
        <w:tc>
          <w:tcPr>
            <w:tcW w:type="dxa" w:w="329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Personagens originais da plataforma, diversidade de pessoas e famílias</w:t>
            </w:r>
          </w:p>
        </w:tc>
      </w:tr>
      <w:tr>
        <w:trPr>
          <w:cantSplit/>
        </w:trPr>
        <w:tc>
          <w:tcPr>
            <w:tcW w:type="dxa" w:w="253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Áudios gravados</w:t>
            </w:r>
          </w:p>
        </w:tc>
        <w:tc>
          <w:tcPr>
            <w:tcW w:type="dxa" w:w="380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Instruções e nomes de itens</w:t>
            </w:r>
          </w:p>
        </w:tc>
        <w:tc>
          <w:tcPr>
            <w:tcW w:type="dxa" w:w="329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Vozes humanas naturais em português do Brasil, com variação regional quando possível; alternativa de voz gravada por familiar</w:t>
            </w:r>
          </w:p>
        </w:tc>
      </w:tr>
      <w:tr>
        <w:trPr>
          <w:cantSplit/>
        </w:trPr>
        <w:tc>
          <w:tcPr>
            <w:tcW w:type="dxa" w:w="253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Pictogramas ARASAAC</w:t>
            </w:r>
          </w:p>
        </w:tc>
        <w:tc>
          <w:tcPr>
            <w:tcW w:type="dxa" w:w="3804"/>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Somente se a plataforma operar em regime não comercial ou obtiver autorização</w:t>
            </w:r>
          </w:p>
        </w:tc>
        <w:tc>
          <w:tcPr>
            <w:tcW w:type="dxa" w:w="329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Licença BY-NC-SA</w:t>
            </w:r>
          </w:p>
        </w:tc>
      </w:tr>
    </w:tbl>
    <w:p>
      <w:pPr>
        <w:spacing w:after="120"/>
      </w:pPr>
    </w:p>
    <w:p>
      <w:pPr>
        <w:pStyle w:val="Heading2"/>
        <w:keepNext/>
      </w:pPr>
      <w:r>
        <w:t xml:space="preserve">9.7 Regras de reforçamento e de design dentro dos jogos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7609"/>
      </w:tblGrid>
      <w:tr>
        <w:trPr>
          <w:tblHeader/>
        </w:trPr>
        <w:tc>
          <w:tcPr>
            <w:tcW w:type="dxa" w:w="2029"/>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Regra</w:t>
            </w:r>
          </w:p>
        </w:tc>
        <w:tc>
          <w:tcPr>
            <w:tcW w:type="dxa" w:w="7609"/>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Especificação</w:t>
            </w:r>
          </w:p>
        </w:tc>
      </w:tr>
      <w:tr>
        <w:trPr>
          <w:cantSplit/>
        </w:trPr>
        <w:tc>
          <w:tcPr>
            <w:tcW w:type="dxa" w:w="202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Feedback de acerto</w:t>
            </w:r>
          </w:p>
        </w:tc>
        <w:tc>
          <w:tcPr>
            <w:tcW w:type="dxa" w:w="760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Breve (até 1,5 s), previsível, ajustável ao perfil sensorial (sem confete, sem som, ou com ambos). Não há animação que atrase a próxima tentativa sem necessidade.</w:t>
            </w:r>
          </w:p>
        </w:tc>
      </w:tr>
      <w:tr>
        <w:trPr>
          <w:cantSplit/>
        </w:trPr>
        <w:tc>
          <w:tcPr>
            <w:tcW w:type="dxa" w:w="202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Feedback de erro</w:t>
            </w:r>
          </w:p>
        </w:tc>
        <w:tc>
          <w:tcPr>
            <w:tcW w:type="dxa" w:w="760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Neutro e informativo, seguido do procedimento de correção definido no programa (por exemplo, reapresentar com dica). Nenhum som de fracasso, nenhuma perda de pontos.</w:t>
            </w:r>
          </w:p>
        </w:tc>
      </w:tr>
      <w:tr>
        <w:trPr>
          <w:cantSplit/>
        </w:trPr>
        <w:tc>
          <w:tcPr>
            <w:tcW w:type="dxa" w:w="202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Esquema</w:t>
            </w:r>
          </w:p>
        </w:tc>
        <w:tc>
          <w:tcPr>
            <w:tcW w:type="dxa" w:w="760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Definido pelo profissional por alvo (contínuo, razão fixa ou variável). O jogo não decide o esquema.</w:t>
            </w:r>
          </w:p>
        </w:tc>
      </w:tr>
      <w:tr>
        <w:trPr>
          <w:cantSplit/>
        </w:trPr>
        <w:tc>
          <w:tcPr>
            <w:tcW w:type="dxa" w:w="202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Itens entregues</w:t>
            </w:r>
          </w:p>
        </w:tc>
        <w:tc>
          <w:tcPr>
            <w:tcW w:type="dxa" w:w="760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Sempre conhecidos e escolhidos. Proibido sortear item desconhecido (vedação a caixas de recompensa).</w:t>
            </w:r>
          </w:p>
        </w:tc>
      </w:tr>
      <w:tr>
        <w:trPr>
          <w:cantSplit/>
        </w:trPr>
        <w:tc>
          <w:tcPr>
            <w:tcW w:type="dxa" w:w="202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Comparação social</w:t>
            </w:r>
          </w:p>
        </w:tc>
        <w:tc>
          <w:tcPr>
            <w:tcW w:type="dxa" w:w="760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Proibido ranking, placar entre crianças, mensagens do tipo “você foi melhor que”.</w:t>
            </w:r>
          </w:p>
        </w:tc>
      </w:tr>
      <w:tr>
        <w:trPr>
          <w:cantSplit/>
        </w:trPr>
        <w:tc>
          <w:tcPr>
            <w:tcW w:type="dxa" w:w="202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Sequências</w:t>
            </w:r>
          </w:p>
        </w:tc>
        <w:tc>
          <w:tcPr>
            <w:tcW w:type="dxa" w:w="760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Contadores de sequência de acertos podem existir só para o profissional; para a criança, não há perda por interromper sequência.</w:t>
            </w:r>
          </w:p>
        </w:tc>
      </w:tr>
      <w:tr>
        <w:trPr>
          <w:cantSplit/>
        </w:trPr>
        <w:tc>
          <w:tcPr>
            <w:tcW w:type="dxa" w:w="202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Tempo</w:t>
            </w:r>
          </w:p>
        </w:tc>
        <w:tc>
          <w:tcPr>
            <w:tcW w:type="dxa" w:w="760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Sem cronômetro de pressão para a criança, salvo em alvos de fluência definidos pelo profissional.</w:t>
            </w:r>
          </w:p>
        </w:tc>
      </w:tr>
      <w:tr>
        <w:trPr>
          <w:cantSplit/>
        </w:trPr>
        <w:tc>
          <w:tcPr>
            <w:tcW w:type="dxa" w:w="202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Encerramento</w:t>
            </w:r>
          </w:p>
        </w:tc>
        <w:tc>
          <w:tcPr>
            <w:tcW w:type="dxa" w:w="760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Transição anunciada com o Timer Visual; nunca encerramento abrupto.</w:t>
            </w:r>
          </w:p>
        </w:tc>
      </w:tr>
      <w:tr>
        <w:trPr>
          <w:cantSplit/>
        </w:trPr>
        <w:tc>
          <w:tcPr>
            <w:tcW w:type="dxa" w:w="202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Estimulação</w:t>
            </w:r>
          </w:p>
        </w:tc>
        <w:tc>
          <w:tcPr>
            <w:tcW w:type="dxa" w:w="760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Sem flashes acima de três por segundo; respeito a </w:t>
            </w:r>
            <w:r>
              <w:rPr>
                <w:rFonts w:ascii="Courier New" w:cs="Courier New" w:eastAsia="Courier New" w:hAnsi="Courier New"/>
                <w:sz w:val="18"/>
                <w:szCs w:val="18"/>
              </w:rPr>
              <w:t xml:space="preserve">prefers-reduced-motion</w:t>
            </w:r>
            <w:r>
              <w:rPr>
                <w:sz w:val="18"/>
                <w:szCs w:val="18"/>
              </w:rPr>
              <w:t xml:space="preserve">; volume máximo limitado.</w:t>
            </w:r>
          </w:p>
        </w:tc>
      </w:tr>
      <w:tr>
        <w:trPr>
          <w:cantSplit/>
        </w:trPr>
        <w:tc>
          <w:tcPr>
            <w:tcW w:type="dxa" w:w="202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Linguagem</w:t>
            </w:r>
          </w:p>
        </w:tc>
        <w:tc>
          <w:tcPr>
            <w:tcW w:type="dxa" w:w="760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Instrução curta, consistente com o SD definido no programa; textos não são necessários para jogar até a idade de leitura.</w:t>
            </w:r>
          </w:p>
        </w:tc>
      </w:tr>
    </w:tbl>
    <w:p>
      <w:pPr>
        <w:spacing w:after="120"/>
      </w:pPr>
    </w:p>
    <w:p>
      <w:pPr>
        <w:pStyle w:val="Heading2"/>
        <w:keepNext/>
      </w:pPr>
      <w:r>
        <w:t xml:space="preserve">9.8 Processo de publicação de um jogo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36"/>
        <w:gridCol w:w="2029"/>
        <w:gridCol w:w="5073"/>
      </w:tblGrid>
      <w:tr>
        <w:trPr>
          <w:tblHeader/>
        </w:trPr>
        <w:tc>
          <w:tcPr>
            <w:tcW w:type="dxa" w:w="2536"/>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Etapa</w:t>
            </w:r>
          </w:p>
        </w:tc>
        <w:tc>
          <w:tcPr>
            <w:tcW w:type="dxa" w:w="2029"/>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Responsável</w:t>
            </w:r>
          </w:p>
        </w:tc>
        <w:tc>
          <w:tcPr>
            <w:tcW w:type="dxa" w:w="5073"/>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Critério de aprovação</w:t>
            </w:r>
          </w:p>
        </w:tc>
      </w:tr>
      <w:tr>
        <w:trPr>
          <w:cantSplit/>
        </w:trPr>
        <w:tc>
          <w:tcPr>
            <w:tcW w:type="dxa" w:w="253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1. Proposta clínica</w:t>
            </w:r>
          </w:p>
        </w:tc>
        <w:tc>
          <w:tcPr>
            <w:tcW w:type="dxa" w:w="202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Supervisão clínica</w:t>
            </w:r>
          </w:p>
        </w:tc>
        <w:tc>
          <w:tcPr>
            <w:tcW w:type="dxa" w:w="507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Finalidade, repertório, unidade de tentativa e evidência descritos</w:t>
            </w:r>
          </w:p>
        </w:tc>
      </w:tr>
      <w:tr>
        <w:trPr>
          <w:cantSplit/>
        </w:trPr>
        <w:tc>
          <w:tcPr>
            <w:tcW w:type="dxa" w:w="253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2. Manifesto v2 e esquemas</w:t>
            </w:r>
          </w:p>
        </w:tc>
        <w:tc>
          <w:tcPr>
            <w:tcW w:type="dxa" w:w="202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Desenvolvimento</w:t>
            </w:r>
          </w:p>
        </w:tc>
        <w:tc>
          <w:tcPr>
            <w:tcW w:type="dxa" w:w="5073"/>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Validação automática no CI</w:t>
            </w:r>
          </w:p>
        </w:tc>
      </w:tr>
      <w:tr>
        <w:trPr>
          <w:cantSplit/>
        </w:trPr>
        <w:tc>
          <w:tcPr>
            <w:tcW w:type="dxa" w:w="253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3. Teste técnico</w:t>
            </w:r>
          </w:p>
        </w:tc>
        <w:tc>
          <w:tcPr>
            <w:tcW w:type="dxa" w:w="202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Desenvolvimento</w:t>
            </w:r>
          </w:p>
        </w:tc>
        <w:tc>
          <w:tcPr>
            <w:tcW w:type="dxa" w:w="507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Checagem de toque e sobreposição em 375 × 812 e em tablet; desempenho; funcionamento offline; taxa de quarentena zero com dados de teste</w:t>
            </w:r>
          </w:p>
        </w:tc>
      </w:tr>
      <w:tr>
        <w:trPr>
          <w:cantSplit/>
        </w:trPr>
        <w:tc>
          <w:tcPr>
            <w:tcW w:type="dxa" w:w="253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4. Revisão sensorial e de acessibilidade</w:t>
            </w:r>
          </w:p>
        </w:tc>
        <w:tc>
          <w:tcPr>
            <w:tcW w:type="dxa" w:w="202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Design</w:t>
            </w:r>
          </w:p>
        </w:tc>
        <w:tc>
          <w:tcPr>
            <w:tcW w:type="dxa" w:w="5073"/>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Regras de 9.7 e 11.4 atendidas</w:t>
            </w:r>
          </w:p>
        </w:tc>
      </w:tr>
      <w:tr>
        <w:trPr>
          <w:cantSplit/>
        </w:trPr>
        <w:tc>
          <w:tcPr>
            <w:tcW w:type="dxa" w:w="253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5. Revisão clínica</w:t>
            </w:r>
          </w:p>
        </w:tc>
        <w:tc>
          <w:tcPr>
            <w:tcW w:type="dxa" w:w="202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Supervisão clínica</w:t>
            </w:r>
          </w:p>
        </w:tc>
        <w:tc>
          <w:tcPr>
            <w:tcW w:type="dxa" w:w="507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Jogo testado por dois profissionais com dados simulados; coerência entre o que o jogo registra e o que o profissional observaria</w:t>
            </w:r>
          </w:p>
        </w:tc>
      </w:tr>
      <w:tr>
        <w:trPr>
          <w:cantSplit/>
        </w:trPr>
        <w:tc>
          <w:tcPr>
            <w:tcW w:type="dxa" w:w="253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6. Piloto</w:t>
            </w:r>
          </w:p>
        </w:tc>
        <w:tc>
          <w:tcPr>
            <w:tcW w:type="dxa" w:w="202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Supervisão clínica</w:t>
            </w:r>
          </w:p>
        </w:tc>
        <w:tc>
          <w:tcPr>
            <w:tcW w:type="dxa" w:w="5073"/>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Uso com casos selecionados e consentimento; ajuste</w:t>
            </w:r>
          </w:p>
        </w:tc>
      </w:tr>
      <w:tr>
        <w:trPr>
          <w:cantSplit/>
        </w:trPr>
        <w:tc>
          <w:tcPr>
            <w:tcW w:type="dxa" w:w="253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7. Publicação versionada</w:t>
            </w:r>
          </w:p>
        </w:tc>
        <w:tc>
          <w:tcPr>
            <w:tcW w:type="dxa" w:w="202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Responsável técnico</w:t>
            </w:r>
          </w:p>
        </w:tc>
        <w:tc>
          <w:tcPr>
            <w:tcW w:type="dxa" w:w="507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Versão fixada; sessões antigas continuam ligadas à versão em que ocorreram</w:t>
            </w:r>
          </w:p>
        </w:tc>
      </w:tr>
    </w:tbl>
    <w:p>
      <w:pPr>
        <w:spacing w:after="120"/>
      </w:pPr>
    </w:p>
    <w:p>
      <w:pPr>
        <w:pStyle w:val="Heading1"/>
        <w:pageBreakBefore/>
      </w:pPr>
      <w:r>
        <w:t xml:space="preserve">10. Telas, fluxos e layout</w:t>
      </w:r>
    </w:p>
    <w:p>
      <w:pPr>
        <w:spacing w:after="140" w:before="0" w:line="300"/>
        <w:jc w:val="left"/>
      </w:pPr>
      <w:r>
        <w:t xml:space="preserve">Esta seção especifica as telas principais por perfil. As descrições são funcionais (o que a tela contém, que decisões ela apoia e que regras obedece) e servem de base para os protótipos de alta fidelidade.</w:t>
      </w:r>
    </w:p>
    <w:p>
      <w:pPr>
        <w:pStyle w:val="Heading2"/>
        <w:keepNext/>
      </w:pPr>
      <w:r>
        <w:t xml:space="preserve">10.1 Mapa de navegação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48"/>
        <w:gridCol w:w="3424"/>
        <w:gridCol w:w="4566"/>
      </w:tblGrid>
      <w:tr>
        <w:trPr>
          <w:tblHeader/>
        </w:trPr>
        <w:tc>
          <w:tcPr>
            <w:tcW w:type="dxa" w:w="1648"/>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Perfil</w:t>
            </w:r>
          </w:p>
        </w:tc>
        <w:tc>
          <w:tcPr>
            <w:tcW w:type="dxa" w:w="3424"/>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Navegação principal</w:t>
            </w:r>
          </w:p>
        </w:tc>
        <w:tc>
          <w:tcPr>
            <w:tcW w:type="dxa" w:w="4566"/>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Telas</w:t>
            </w:r>
          </w:p>
        </w:tc>
      </w:tr>
      <w:tr>
        <w:trPr>
          <w:cantSplit/>
        </w:trPr>
        <w:tc>
          <w:tcPr>
            <w:tcW w:type="dxa" w:w="164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Supervisão</w:t>
            </w:r>
          </w:p>
        </w:tc>
        <w:tc>
          <w:tcPr>
            <w:tcW w:type="dxa" w:w="342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Barra lateral: Painel, Casos, Bibliotecas, Supervisão, Documentos, Configurações</w:t>
            </w:r>
          </w:p>
        </w:tc>
        <w:tc>
          <w:tcPr>
            <w:tcW w:type="dxa" w:w="456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Painel do supervisor; ficha do caso (abas: Visão geral, Plano, Dados, Comportamento, Reforçadores, Sessões, Família, Documentos, Linha do tempo); editor de plano; gráfico de alvo; bibliotecas; observação de fidelidade</w:t>
            </w:r>
          </w:p>
        </w:tc>
      </w:tr>
      <w:tr>
        <w:trPr>
          <w:cantSplit/>
        </w:trPr>
        <w:tc>
          <w:tcPr>
            <w:tcW w:type="dxa" w:w="164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Aplicador</w:t>
            </w:r>
          </w:p>
        </w:tc>
        <w:tc>
          <w:tcPr>
            <w:tcW w:type="dxa" w:w="3424"/>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Barra inferior no celular ou tablet: Hoje, Casos, Registrar, Pendências</w:t>
            </w:r>
          </w:p>
        </w:tc>
        <w:tc>
          <w:tcPr>
            <w:tcW w:type="dxa" w:w="456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Agenda do dia; preparação da sessão; tela de aplicação ABA ou Denver; contador de comportamento; encerramento de sessão</w:t>
            </w:r>
          </w:p>
        </w:tc>
      </w:tr>
      <w:tr>
        <w:trPr>
          <w:cantSplit/>
        </w:trPr>
        <w:tc>
          <w:tcPr>
            <w:tcW w:type="dxa" w:w="164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Família</w:t>
            </w:r>
          </w:p>
        </w:tc>
        <w:tc>
          <w:tcPr>
            <w:tcW w:type="dxa" w:w="342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Barra inferior: Início, Progresso, Tarefas, Orientações, Mensagens</w:t>
            </w:r>
          </w:p>
        </w:tc>
        <w:tc>
          <w:tcPr>
            <w:tcW w:type="dxa" w:w="456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Resumo semanal; progresso por objetivo em linguagem acessível; tarefas de casa; vídeos; consentimentos</w:t>
            </w:r>
          </w:p>
        </w:tc>
      </w:tr>
      <w:tr>
        <w:trPr>
          <w:cantSplit/>
        </w:trPr>
        <w:tc>
          <w:tcPr>
            <w:tcW w:type="dxa" w:w="164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Criança</w:t>
            </w:r>
          </w:p>
        </w:tc>
        <w:tc>
          <w:tcPr>
            <w:tcW w:type="dxa" w:w="3424"/>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Sem navegação livre; fluxo linear definido pela sessão</w:t>
            </w:r>
          </w:p>
        </w:tc>
        <w:tc>
          <w:tcPr>
            <w:tcW w:type="dxa" w:w="456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Tela de boas-vindas; agenda visual; atividade; quadro de fichas; prancha de comunicação; transição</w:t>
            </w:r>
          </w:p>
        </w:tc>
      </w:tr>
      <w:tr>
        <w:trPr>
          <w:cantSplit/>
        </w:trPr>
        <w:tc>
          <w:tcPr>
            <w:tcW w:type="dxa" w:w="164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Administração</w:t>
            </w:r>
          </w:p>
        </w:tc>
        <w:tc>
          <w:tcPr>
            <w:tcW w:type="dxa" w:w="342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Barra lateral: Equipe, Unidades, Agenda, Licenças, Auditoria</w:t>
            </w:r>
          </w:p>
        </w:tc>
        <w:tc>
          <w:tcPr>
            <w:tcW w:type="dxa" w:w="456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Gestão de equipe e vínculos; configurações; relatórios de auditoria</w:t>
            </w:r>
          </w:p>
        </w:tc>
      </w:tr>
    </w:tbl>
    <w:p>
      <w:pPr>
        <w:spacing w:after="120"/>
      </w:pPr>
    </w:p>
    <w:p>
      <w:pPr>
        <w:pStyle w:val="Heading2"/>
        <w:keepNext/>
      </w:pPr>
      <w:r>
        <w:t xml:space="preserve">10.2 Painel do supervisor</w:t>
      </w:r>
    </w:p>
    <w:p>
      <w:pPr>
        <w:spacing w:after="140" w:before="0" w:line="300"/>
        <w:jc w:val="left"/>
      </w:pPr>
      <w:r>
        <w:t xml:space="preserve">É a primeira tela da supervisão e responde a uma pergunta: </w:t>
      </w:r>
      <w:r>
        <w:rPr>
          <w:b/>
          <w:bCs/>
        </w:rPr>
        <w:t xml:space="preserve">onde minha atenção é necessária hoje?</w:t>
      </w:r>
      <w:r>
        <w:t xml:space="preserve"> Organiza-se em três faixas. No topo, a fila de decisões: alertas do motor de regras (Seção 8.5) ordenados por prioridade, cada um com a criança, o alvo, o motivo, um gráfico miniatura e os botões de aceitar, adiar ou descartar com justificativa. No meio, a carteira de casos: um cartão por criança com o modelo do caso (ABA ou Denver, sempre identificado por cor e rótulo), número de alvos por fase, data da última sessão, fidelidade recente da equipe e pendências (notas não assinadas, consentimentos vencidos, ciclo Denver vencendo). Embaixo, a equipe: aplicadores, horas de supervisão do mês, competências pendentes e índices de concordância.</w:t>
      </w:r>
    </w:p>
    <w:p>
      <w:pPr>
        <w:pStyle w:val="Heading2"/>
        <w:keepNext/>
      </w:pPr>
      <w:r>
        <w:t xml:space="preserve">10.3 Ficha do caso e editor de plano</w:t>
      </w:r>
    </w:p>
    <w:p>
      <w:pPr>
        <w:spacing w:after="140" w:before="0" w:line="300"/>
        <w:jc w:val="left"/>
      </w:pPr>
      <w:r>
        <w:t xml:space="preserve">A ficha do caso traz no cabeçalho, sempre visível, o nome de preferência, a idade em anos e meses, o modelo do caso e os alertas de segurança (alergias, comportamentos de risco, restrições sensoriais). A aba Plano mostra a árvore do plano: objetivos, programas e alvos em ABA; ciclo, objetivos trimestrais e passos em Denver. Cada alvo exibe a fase em cor, o progresso em direção ao critério e o acesso ao gráfico. O editor de alvo é um formulário em etapas que impede salvar alvo incompleto: definição operacional, estímulos (selecionados ou carregados), procedimento, hierarquia de dicas, correção de erro, critério de domínio, esquema de reforçamento, jogos compatíveis sugeridos pelo manifesto e plano de generalização.</w:t>
      </w:r>
    </w:p>
    <w:p>
      <w:pPr>
        <w:pStyle w:val="Heading2"/>
        <w:keepNext/>
      </w:pPr>
      <w:r>
        <w:t xml:space="preserve">10.4 Tela de aplicação ABA</w:t>
      </w:r>
    </w:p>
    <w:p>
      <w:pPr>
        <w:spacing w:after="140" w:before="0" w:line="300"/>
        <w:jc w:val="left"/>
      </w:pPr>
      <w:r>
        <w:t xml:space="preserve">Projetada para uso com uma mão, com o olhar na criança. A disposição em celular, de cima para baixo: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2"/>
        <w:gridCol w:w="4565"/>
        <w:gridCol w:w="3171"/>
      </w:tblGrid>
      <w:tr>
        <w:trPr>
          <w:tblHeader/>
        </w:trPr>
        <w:tc>
          <w:tcPr>
            <w:tcW w:type="dxa" w:w="1902"/>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Área</w:t>
            </w:r>
          </w:p>
        </w:tc>
        <w:tc>
          <w:tcPr>
            <w:tcW w:type="dxa" w:w="4565"/>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Conteúdo</w:t>
            </w:r>
          </w:p>
        </w:tc>
        <w:tc>
          <w:tcPr>
            <w:tcW w:type="dxa" w:w="3171"/>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Regra de interação</w:t>
            </w:r>
          </w:p>
        </w:tc>
      </w:tr>
      <w:tr>
        <w:trPr>
          <w:cantSplit/>
        </w:trPr>
        <w:tc>
          <w:tcPr>
            <w:tcW w:type="dxa" w:w="19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Cabeçalho fino</w:t>
            </w:r>
          </w:p>
        </w:tc>
        <w:tc>
          <w:tcPr>
            <w:tcW w:type="dxa" w:w="456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Nome da criança, cronômetro da sessão, indicador de sincronização (pendências locais), botão de pausa</w:t>
            </w:r>
          </w:p>
        </w:tc>
        <w:tc>
          <w:tcPr>
            <w:tcW w:type="dxa" w:w="317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Pausa preserva o contexto do bloco</w:t>
            </w:r>
          </w:p>
        </w:tc>
      </w:tr>
      <w:tr>
        <w:trPr>
          <w:cantSplit/>
        </w:trPr>
        <w:tc>
          <w:tcPr>
            <w:tcW w:type="dxa" w:w="190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Cartão do alvo atual</w:t>
            </w:r>
          </w:p>
        </w:tc>
        <w:tc>
          <w:tcPr>
            <w:tcW w:type="dxa" w:w="4565"/>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Nome do alvo, SD a apresentar, estímulo da vez (imagem e posição sugerida quando aleatorizada), fase e tentativa atual de N</w:t>
            </w:r>
          </w:p>
        </w:tc>
        <w:tc>
          <w:tcPr>
            <w:tcW w:type="dxa" w:w="3171"/>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Deslizar para o lado troca de alvo dentro do bloco intercalado</w:t>
            </w:r>
          </w:p>
        </w:tc>
      </w:tr>
      <w:tr>
        <w:trPr>
          <w:cantSplit/>
        </w:trPr>
        <w:tc>
          <w:tcPr>
            <w:tcW w:type="dxa" w:w="19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Seletor de dica</w:t>
            </w:r>
          </w:p>
        </w:tc>
        <w:tc>
          <w:tcPr>
            <w:tcW w:type="dxa" w:w="456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Fileira com os níveis da hierarquia do alvo, do independente ao mais intrusivo, em cores e rótulos curtos; o nível padrão da fase vem pré-selecionado</w:t>
            </w:r>
          </w:p>
        </w:tc>
        <w:tc>
          <w:tcPr>
            <w:tcW w:type="dxa" w:w="317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Toque único muda o nível da tentativa atual</w:t>
            </w:r>
          </w:p>
        </w:tc>
      </w:tr>
      <w:tr>
        <w:trPr>
          <w:cantSplit/>
        </w:trPr>
        <w:tc>
          <w:tcPr>
            <w:tcW w:type="dxa" w:w="190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Botões de resposta</w:t>
            </w:r>
          </w:p>
        </w:tc>
        <w:tc>
          <w:tcPr>
            <w:tcW w:type="dxa" w:w="4565"/>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Três botões grandes (mínimo de 64 px de altura): correta, incorreta, sem resposta</w:t>
            </w:r>
          </w:p>
        </w:tc>
        <w:tc>
          <w:tcPr>
            <w:tcW w:type="dxa" w:w="3171"/>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Um toque registra a tentativa com o nível de dica selecionado e a latência medida desde a apresentação, e avança</w:t>
            </w:r>
          </w:p>
        </w:tc>
      </w:tr>
      <w:tr>
        <w:trPr>
          <w:cantSplit/>
        </w:trPr>
        <w:tc>
          <w:tcPr>
            <w:tcW w:type="dxa" w:w="19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Desfazer</w:t>
            </w:r>
          </w:p>
        </w:tc>
        <w:tc>
          <w:tcPr>
            <w:tcW w:type="dxa" w:w="456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Barra temporária após cada registro</w:t>
            </w:r>
          </w:p>
        </w:tc>
        <w:tc>
          <w:tcPr>
            <w:tcW w:type="dxa" w:w="317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Desfaz a última tentativa por 5 segundos; depois, só por adendo</w:t>
            </w:r>
          </w:p>
        </w:tc>
      </w:tr>
      <w:tr>
        <w:trPr>
          <w:cantSplit/>
        </w:trPr>
        <w:tc>
          <w:tcPr>
            <w:tcW w:type="dxa" w:w="190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Faixa de comportamento</w:t>
            </w:r>
          </w:p>
        </w:tc>
        <w:tc>
          <w:tcPr>
            <w:tcW w:type="dxa" w:w="4565"/>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Contadores dos comportamentos definidos no caso, com o modo de medida de cada um</w:t>
            </w:r>
          </w:p>
        </w:tc>
        <w:tc>
          <w:tcPr>
            <w:tcW w:type="dxa" w:w="3171"/>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Toque registra ocorrência; toque longo inicia e termina duração</w:t>
            </w:r>
          </w:p>
        </w:tc>
      </w:tr>
      <w:tr>
        <w:trPr>
          <w:cantSplit/>
        </w:trPr>
        <w:tc>
          <w:tcPr>
            <w:tcW w:type="dxa" w:w="19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Atalhos de reforçador</w:t>
            </w:r>
          </w:p>
        </w:tc>
        <w:tc>
          <w:tcPr>
            <w:tcW w:type="dxa" w:w="456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Três itens de maior preferência válida e o quadro de fichas</w:t>
            </w:r>
          </w:p>
        </w:tc>
        <w:tc>
          <w:tcPr>
            <w:tcW w:type="dxa" w:w="317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Registro de entrega com um toque</w:t>
            </w:r>
          </w:p>
        </w:tc>
      </w:tr>
    </w:tbl>
    <w:p>
      <w:pPr>
        <w:spacing w:after="120"/>
      </w:pPr>
    </w:p>
    <w:p>
      <w:pPr>
        <w:spacing w:after="140" w:before="0" w:line="300"/>
        <w:jc w:val="left"/>
      </w:pPr>
      <w:r>
        <w:t xml:space="preserve">Quando o bloco é uma atividade digital, o cartão do alvo é substituído pelo espelho do jogo em tempo real (estímulos apresentados e escolha da criança), recebido do tablet pareado. O profissional só precisa ajustar o nível de dica, porque o jogo registra a resposta; nos alvos com pontuação pelo profissional, os botões de resposta permanecem ativos.</w:t>
      </w:r>
    </w:p>
    <w:p>
      <w:pPr>
        <w:pStyle w:val="Heading2"/>
        <w:keepNext/>
      </w:pPr>
      <w:r>
        <w:t xml:space="preserve">10.5 Tela de aplicação Denver</w:t>
      </w:r>
    </w:p>
    <w:p>
      <w:pPr>
        <w:spacing w:after="140" w:before="0" w:line="300"/>
        <w:jc w:val="left"/>
      </w:pPr>
      <w:r>
        <w:t xml:space="preserve">A organização é por rotina, não por tentativa. No topo, a rotina em curso (tipo e tema), com as fases de abertura, elaboração, variação e fechamento como etapas que o terapeuta marca ao avançar. No centro, os passos ativos compatíveis com aquela rotina, agrupados por domínio, cada um com a descrição curta do passo e o registro do intervalo corrente. A cada intervalo configurado (padrão de 15 minutos), a tela sinaliza discretamente (vibração, sem som) que é hora de registrar o desempenho de cada passo trabalhado no intervalo, com a escala definida pela organização. Um botão permite iniciar nova rotina, inclusive marcando que foi iniciada pela criança. Não há botões de tentativa discreta nessa tela, por construção.</w:t>
      </w:r>
    </w:p>
    <w:p>
      <w:pPr>
        <w:pStyle w:val="Heading2"/>
        <w:keepNext/>
      </w:pPr>
      <w:r>
        <w:t xml:space="preserve">10.6 Gráfico de alvo</w:t>
      </w:r>
    </w:p>
    <w:p>
      <w:pPr>
        <w:spacing w:after="140" w:before="0" w:line="300"/>
        <w:jc w:val="left"/>
      </w:pPr>
      <w:r>
        <w:t xml:space="preserve">Eixo horizontal por sessão (com datas), eixo vertical de 0 a 100% para alvos de tentativa. Série principal: percentual de corretas independentes, em linha com marcadores. Série secundária: percentual de corretas com dica, em linha tracejada. Barras empilhadas discretas, abaixo do eixo, com a distribuição dos níveis de dica por sessão. Marcadores de forma diferente para canais (mesa, digital, natural, casa). Linhas verticais de mudança de fase com rótulo, linha horizontal do critério, marcadores de eventos de contexto e, sob demanda, as linhas do CDC entre fases adjacentes. O número de oportunidades aparece ao passar o dedo ou o cursor sobre cada ponto. A cor nunca é o único indicador: forma do marcador e rótulo também codificam a informação.</w:t>
      </w:r>
    </w:p>
    <w:p>
      <w:pPr>
        <w:pStyle w:val="Heading2"/>
        <w:keepNext/>
      </w:pPr>
      <w:r>
        <w:t xml:space="preserve">10.7 Portal infantil por faixa etária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550"/>
        <w:gridCol w:w="4567"/>
      </w:tblGrid>
      <w:tr>
        <w:trPr>
          <w:tblHeader/>
        </w:trPr>
        <w:tc>
          <w:tcPr>
            <w:tcW w:type="dxa" w:w="1521"/>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Faixa</w:t>
            </w:r>
          </w:p>
        </w:tc>
        <w:tc>
          <w:tcPr>
            <w:tcW w:type="dxa" w:w="3550"/>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Disponibilidade</w:t>
            </w:r>
          </w:p>
        </w:tc>
        <w:tc>
          <w:tcPr>
            <w:tcW w:type="dxa" w:w="4567"/>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Apresentação</w:t>
            </w:r>
          </w:p>
        </w:tc>
      </w:tr>
      <w:tr>
        <w:trPr>
          <w:cantSplit/>
        </w:trPr>
        <w:tc>
          <w:tcPr>
            <w:tcW w:type="dxa" w:w="152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0 a 23 meses</w:t>
            </w:r>
          </w:p>
        </w:tc>
        <w:tc>
          <w:tcPr>
            <w:tcW w:type="dxa" w:w="355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Não disponível</w:t>
            </w:r>
          </w:p>
        </w:tc>
        <w:tc>
          <w:tcPr>
            <w:tcW w:type="dxa" w:w="456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A plataforma oferece apenas ferramentas do terapeuta e orientações à família</w:t>
            </w:r>
          </w:p>
        </w:tc>
      </w:tr>
      <w:tr>
        <w:trPr>
          <w:cantSplit/>
        </w:trPr>
        <w:tc>
          <w:tcPr>
            <w:tcW w:type="dxa" w:w="1521"/>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2 a 4 anos</w:t>
            </w:r>
          </w:p>
        </w:tc>
        <w:tc>
          <w:tcPr>
            <w:tcW w:type="dxa" w:w="3550"/>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Somente com adulto; blocos curtos (padrão de 10 min); limite diário de 60 min somando todas as finalidades</w:t>
            </w:r>
          </w:p>
        </w:tc>
        <w:tc>
          <w:tcPr>
            <w:tcW w:type="dxa" w:w="456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Uma atividade por vez em tela cheia; no máximo 2 a 3 escolhas por tela; botões grandes; instrução por áudio; sem texto; agenda visual com 2 a 3 etapas</w:t>
            </w:r>
          </w:p>
        </w:tc>
      </w:tr>
      <w:tr>
        <w:trPr>
          <w:cantSplit/>
        </w:trPr>
        <w:tc>
          <w:tcPr>
            <w:tcW w:type="dxa" w:w="152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5 a 8 anos</w:t>
            </w:r>
          </w:p>
        </w:tc>
        <w:tc>
          <w:tcPr>
            <w:tcW w:type="dxa" w:w="355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Com adulto; limite diário padrão de 60 a 120 min</w:t>
            </w:r>
          </w:p>
        </w:tc>
        <w:tc>
          <w:tcPr>
            <w:tcW w:type="dxa" w:w="456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Agenda visual da sessão; quadro de fichas; até 4 escolhas; texto curto opcional com áudio</w:t>
            </w:r>
          </w:p>
        </w:tc>
      </w:tr>
      <w:tr>
        <w:trPr>
          <w:cantSplit/>
        </w:trPr>
        <w:tc>
          <w:tcPr>
            <w:tcW w:type="dxa" w:w="1521"/>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9 a 12 anos</w:t>
            </w:r>
          </w:p>
        </w:tc>
        <w:tc>
          <w:tcPr>
            <w:tcW w:type="dxa" w:w="3550"/>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Com adulto presente ou supervisão próxima</w:t>
            </w:r>
          </w:p>
        </w:tc>
        <w:tc>
          <w:tcPr>
            <w:tcW w:type="dxa" w:w="456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Visual mais sóbrio, avatar personalizável, metas da sessão visíveis à criança, autoavaliação simples</w:t>
            </w:r>
          </w:p>
        </w:tc>
      </w:tr>
      <w:tr>
        <w:trPr>
          <w:cantSplit/>
        </w:trPr>
        <w:tc>
          <w:tcPr>
            <w:tcW w:type="dxa" w:w="152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13 a 18 anos</w:t>
            </w:r>
          </w:p>
        </w:tc>
        <w:tc>
          <w:tcPr>
            <w:tcW w:type="dxa" w:w="355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Uso supervisionado, com espaço de autogerenciamento</w:t>
            </w:r>
          </w:p>
        </w:tc>
        <w:tc>
          <w:tcPr>
            <w:tcW w:type="dxa" w:w="456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Linguagem e estética juvenis, sem infantilização; Meu Dia; metas pessoais negociadas; privacidade apropriada à idade em relação a pares</w:t>
            </w:r>
          </w:p>
        </w:tc>
      </w:tr>
    </w:tbl>
    <w:p>
      <w:pPr>
        <w:spacing w:after="120"/>
      </w:pPr>
    </w:p>
    <w:p>
      <w:pPr>
        <w:spacing w:after="140" w:before="0" w:line="300"/>
        <w:jc w:val="left"/>
      </w:pPr>
      <w:r>
        <w:t xml:space="preserve">Em todas as faixas, o portal abre em </w:t>
      </w:r>
      <w:r>
        <w:rPr>
          <w:b/>
          <w:bCs/>
        </w:rPr>
        <w:t xml:space="preserve">modo supervisionado</w:t>
      </w:r>
      <w:r>
        <w:t xml:space="preserve">: botão de saída protegido por toque longo e código do adulto, sem acesso a outros aplicativos quando o dispositivo permitir o modo de acesso guiado, e retorno automático à tela de transição quando o tempo da atividade termina.</w:t>
      </w:r>
    </w:p>
    <w:p>
      <w:pPr>
        <w:pStyle w:val="Heading2"/>
        <w:keepNext/>
      </w:pPr>
      <w:r>
        <w:t xml:space="preserve">10.8 Portal da família</w:t>
      </w:r>
    </w:p>
    <w:p>
      <w:pPr>
        <w:spacing w:after="140" w:before="0" w:line="300"/>
        <w:jc w:val="left"/>
      </w:pPr>
      <w:r>
        <w:t xml:space="preserve">A tela inicial mostra o resumo da semana em linguagem cotidiana (“esta semana, Ana praticou pedir ajuda em 4 situações diferentes e conseguiu sozinha em quase todas na clínica”), as próximas sessões, as tarefas de casa com registro de um toque e os vídeos de orientação recomendados. A aba Progresso mostra os objetivos do plano em formato de trilha, com estados compreensíveis (começando, aprendendo, aprendeu, praticando para não esquecer, usando em outros lugares) que correspondem às fases técnicas do alvo. Gráficos técnicos não aparecem para a família por padrão; o supervisor pode compartilhar um gráfico específico com explicação.</w:t>
      </w:r>
    </w:p>
    <w:p>
      <w:pPr>
        <w:pStyle w:val="Heading2"/>
        <w:keepNext/>
      </w:pPr>
      <w:r>
        <w:t xml:space="preserve">10.9 Página inicial pública</w:t>
      </w:r>
    </w:p>
    <w:p>
      <w:pPr>
        <w:spacing w:after="140" w:before="0" w:line="300"/>
        <w:jc w:val="left"/>
      </w:pPr>
      <w:r>
        <w:t xml:space="preserve">A página inicial das bases tinha dois problemas de fundo. Falava para todos ao mesmo tempo (criança, família e profissional na mesma rolagem, com botões de entrada infantil e profissional lado a lado) e usava a linguagem de aplicativo de entretenimento (gradientes intensos, animações em profusão, promessas de diversão). Para uma plataforma clínica, a página inicial precisa fazer outra coisa: comunicar </w:t>
      </w:r>
      <w:r>
        <w:rPr>
          <w:b/>
          <w:bCs/>
        </w:rPr>
        <w:t xml:space="preserve">credibilidade técnica, segurança dos dados e respeito à criança</w:t>
      </w:r>
      <w:r>
        <w:t xml:space="preserve">, e levar cada público ao lugar certo. A criança não é público da página inicial; ela nunca chega à plataforma sozinha.</w:t>
      </w:r>
    </w:p>
    <w:p>
      <w:pPr>
        <w:pStyle w:val="Heading3"/>
        <w:keepNext/>
      </w:pPr>
      <w:r>
        <w:t xml:space="preserve">Públicos e objetivos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82"/>
        <w:gridCol w:w="4819"/>
        <w:gridCol w:w="2537"/>
      </w:tblGrid>
      <w:tr>
        <w:trPr>
          <w:tblHeader/>
        </w:trPr>
        <w:tc>
          <w:tcPr>
            <w:tcW w:type="dxa" w:w="2282"/>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Público</w:t>
            </w:r>
          </w:p>
        </w:tc>
        <w:tc>
          <w:tcPr>
            <w:tcW w:type="dxa" w:w="4819"/>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O que precisa entender em poucos segundos</w:t>
            </w:r>
          </w:p>
        </w:tc>
        <w:tc>
          <w:tcPr>
            <w:tcW w:type="dxa" w:w="2537"/>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Ação esperada</w:t>
            </w:r>
          </w:p>
        </w:tc>
      </w:tr>
      <w:tr>
        <w:trPr>
          <w:cantSplit/>
        </w:trPr>
        <w:tc>
          <w:tcPr>
            <w:tcW w:type="dxa" w:w="228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Profissional e coordenação clínica</w:t>
            </w:r>
          </w:p>
        </w:tc>
        <w:tc>
          <w:tcPr>
            <w:tcW w:type="dxa" w:w="481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Que a plataforma reúne planejamento, aplicação, registro e análise; que respeita ABA e Denver como modelos distintos; que os dados sustentam decisão e supervisão</w:t>
            </w:r>
          </w:p>
        </w:tc>
        <w:tc>
          <w:tcPr>
            <w:tcW w:type="dxa" w:w="253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Conhecer, solicitar demonstração, entrar</w:t>
            </w:r>
          </w:p>
        </w:tc>
      </w:tr>
      <w:tr>
        <w:trPr>
          <w:cantSplit/>
        </w:trPr>
        <w:tc>
          <w:tcPr>
            <w:tcW w:type="dxa" w:w="228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Gestor de clínica</w:t>
            </w:r>
          </w:p>
        </w:tc>
        <w:tc>
          <w:tcPr>
            <w:tcW w:type="dxa" w:w="481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Segurança, conformidade (LGPD, CFP, ECA Digital), separação entre gestão e conteúdo clínico, ganho de tempo da equipe</w:t>
            </w:r>
          </w:p>
        </w:tc>
        <w:tc>
          <w:tcPr>
            <w:tcW w:type="dxa" w:w="253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Solicitar demonstração</w:t>
            </w:r>
          </w:p>
        </w:tc>
      </w:tr>
      <w:tr>
        <w:trPr>
          <w:cantSplit/>
        </w:trPr>
        <w:tc>
          <w:tcPr>
            <w:tcW w:type="dxa" w:w="228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Família convidada</w:t>
            </w:r>
          </w:p>
        </w:tc>
        <w:tc>
          <w:tcPr>
            <w:tcW w:type="dxa" w:w="481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Que recebeu um convite de um profissional, que seus dados e os da criança estão protegidos, como acessar</w:t>
            </w:r>
          </w:p>
        </w:tc>
        <w:tc>
          <w:tcPr>
            <w:tcW w:type="dxa" w:w="253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Aceitar convite, entrar</w:t>
            </w:r>
          </w:p>
        </w:tc>
      </w:tr>
    </w:tbl>
    <w:p>
      <w:pPr>
        <w:spacing w:after="120"/>
      </w:pPr>
    </w:p>
    <w:p>
      <w:pPr>
        <w:pStyle w:val="Heading3"/>
        <w:keepNext/>
      </w:pPr>
      <w:r>
        <w:t xml:space="preserve">Estrutura da página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4565"/>
        <w:gridCol w:w="3044"/>
      </w:tblGrid>
      <w:tr>
        <w:trPr>
          <w:tblHeader/>
        </w:trPr>
        <w:tc>
          <w:tcPr>
            <w:tcW w:type="dxa" w:w="2029"/>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Bloco</w:t>
            </w:r>
          </w:p>
        </w:tc>
        <w:tc>
          <w:tcPr>
            <w:tcW w:type="dxa" w:w="4565"/>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Conteúdo</w:t>
            </w:r>
          </w:p>
        </w:tc>
        <w:tc>
          <w:tcPr>
            <w:tcW w:type="dxa" w:w="3044"/>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Diretriz</w:t>
            </w:r>
          </w:p>
        </w:tc>
      </w:tr>
      <w:tr>
        <w:trPr>
          <w:cantSplit/>
        </w:trPr>
        <w:tc>
          <w:tcPr>
            <w:tcW w:type="dxa" w:w="202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Cabeçalho</w:t>
            </w:r>
          </w:p>
        </w:tc>
        <w:tc>
          <w:tcPr>
            <w:tcW w:type="dxa" w:w="456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Marca, links (Como funciona, Fundamentação, Segurança, Para famílias) e botão Entrar</w:t>
            </w:r>
          </w:p>
        </w:tc>
        <w:tc>
          <w:tcPr>
            <w:tcW w:type="dxa" w:w="304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Um único botão de entrada, que leva à escolha de perfil; sem entrada infantil na página pública</w:t>
            </w:r>
          </w:p>
        </w:tc>
      </w:tr>
      <w:tr>
        <w:trPr>
          <w:cantSplit/>
        </w:trPr>
        <w:tc>
          <w:tcPr>
            <w:tcW w:type="dxa" w:w="202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Abertura</w:t>
            </w:r>
          </w:p>
        </w:tc>
        <w:tc>
          <w:tcPr>
            <w:tcW w:type="dxa" w:w="4565"/>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Frase de posicionamento, subtítulo de uma linha, chamada principal (Solicitar demonstração) e secundária (Ver como funciona); imagem real de contexto clínico, com crianças e adultos fictícios ou com autorização</w:t>
            </w:r>
          </w:p>
        </w:tc>
        <w:tc>
          <w:tcPr>
            <w:tcW w:type="dxa" w:w="3044"/>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Frase sugerida: “O plano individual no centro de cada decisão.” Sem promessas de cura ou de resultado</w:t>
            </w:r>
          </w:p>
        </w:tc>
      </w:tr>
      <w:tr>
        <w:trPr>
          <w:cantSplit/>
        </w:trPr>
        <w:tc>
          <w:tcPr>
            <w:tcW w:type="dxa" w:w="202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Como funciona</w:t>
            </w:r>
          </w:p>
        </w:tc>
        <w:tc>
          <w:tcPr>
            <w:tcW w:type="dxa" w:w="456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Quatro passos ilustrados: avaliar, planejar, aplicar, analisar</w:t>
            </w:r>
          </w:p>
        </w:tc>
        <w:tc>
          <w:tcPr>
            <w:tcW w:type="dxa" w:w="304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Mostrar telas reais da plataforma, não ilustrações genéricas</w:t>
            </w:r>
          </w:p>
        </w:tc>
      </w:tr>
      <w:tr>
        <w:trPr>
          <w:cantSplit/>
        </w:trPr>
        <w:tc>
          <w:tcPr>
            <w:tcW w:type="dxa" w:w="202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ABA ou Denver, nunca os dois</w:t>
            </w:r>
          </w:p>
        </w:tc>
        <w:tc>
          <w:tcPr>
            <w:tcW w:type="dxa" w:w="4565"/>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Explicação curta de que cada caso segue um modelo, com o porquê clínico</w:t>
            </w:r>
          </w:p>
        </w:tc>
        <w:tc>
          <w:tcPr>
            <w:tcW w:type="dxa" w:w="3044"/>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Diferencial técnico; texto revisado pela supervisão clínica</w:t>
            </w:r>
          </w:p>
        </w:tc>
      </w:tr>
      <w:tr>
        <w:trPr>
          <w:cantSplit/>
        </w:trPr>
        <w:tc>
          <w:tcPr>
            <w:tcW w:type="dxa" w:w="202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Para o aplicador</w:t>
            </w:r>
          </w:p>
        </w:tc>
        <w:tc>
          <w:tcPr>
            <w:tcW w:type="dxa" w:w="456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Registro com uma mão, offline, dicas e comportamento na mesma tela</w:t>
            </w:r>
          </w:p>
        </w:tc>
        <w:tc>
          <w:tcPr>
            <w:tcW w:type="dxa" w:w="304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Vídeo curto sem áudio obrigatório, com legenda</w:t>
            </w:r>
          </w:p>
        </w:tc>
      </w:tr>
      <w:tr>
        <w:trPr>
          <w:cantSplit/>
        </w:trPr>
        <w:tc>
          <w:tcPr>
            <w:tcW w:type="dxa" w:w="202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Para a supervisão</w:t>
            </w:r>
          </w:p>
        </w:tc>
        <w:tc>
          <w:tcPr>
            <w:tcW w:type="dxa" w:w="4565"/>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Gráficos por alvo, alertas de decisão, fidelidade</w:t>
            </w:r>
          </w:p>
        </w:tc>
        <w:tc>
          <w:tcPr>
            <w:tcW w:type="dxa" w:w="3044"/>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Captura de tela do painel do supervisor</w:t>
            </w:r>
          </w:p>
        </w:tc>
      </w:tr>
      <w:tr>
        <w:trPr>
          <w:cantSplit/>
        </w:trPr>
        <w:tc>
          <w:tcPr>
            <w:tcW w:type="dxa" w:w="202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Para a família</w:t>
            </w:r>
          </w:p>
        </w:tc>
        <w:tc>
          <w:tcPr>
            <w:tcW w:type="dxa" w:w="456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Acompanhamento em linguagem simples, tarefas de casa, orientação</w:t>
            </w:r>
          </w:p>
        </w:tc>
        <w:tc>
          <w:tcPr>
            <w:tcW w:type="dxa" w:w="304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Tom acolhedor, sem jargão</w:t>
            </w:r>
          </w:p>
        </w:tc>
      </w:tr>
      <w:tr>
        <w:trPr>
          <w:cantSplit/>
        </w:trPr>
        <w:tc>
          <w:tcPr>
            <w:tcW w:type="dxa" w:w="202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Fundamentação</w:t>
            </w:r>
          </w:p>
        </w:tc>
        <w:tc>
          <w:tcPr>
            <w:tcW w:type="dxa" w:w="4565"/>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Base em ABA, comportamento verbal e ESDM, critérios de domínio, análise visual; referências</w:t>
            </w:r>
          </w:p>
        </w:tc>
        <w:tc>
          <w:tcPr>
            <w:tcW w:type="dxa" w:w="3044"/>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Link para página dedicada com bibliografia</w:t>
            </w:r>
          </w:p>
        </w:tc>
      </w:tr>
      <w:tr>
        <w:trPr>
          <w:cantSplit/>
        </w:trPr>
        <w:tc>
          <w:tcPr>
            <w:tcW w:type="dxa" w:w="202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Segurança e privacidade</w:t>
            </w:r>
          </w:p>
        </w:tc>
        <w:tc>
          <w:tcPr>
            <w:tcW w:type="dxa" w:w="456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Dados no Brasil, criptografia, auditoria de acesso, consentimentos, sem publicidade, sem ranking, sem caixa-surpresa</w:t>
            </w:r>
          </w:p>
        </w:tc>
        <w:tc>
          <w:tcPr>
            <w:tcW w:type="dxa" w:w="304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Link para política de privacidade e relatório de impacto resumido</w:t>
            </w:r>
          </w:p>
        </w:tc>
      </w:tr>
      <w:tr>
        <w:trPr>
          <w:cantSplit/>
        </w:trPr>
        <w:tc>
          <w:tcPr>
            <w:tcW w:type="dxa" w:w="202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Rodapé</w:t>
            </w:r>
          </w:p>
        </w:tc>
        <w:tc>
          <w:tcPr>
            <w:tcW w:type="dxa" w:w="4565"/>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Responsável técnico com número no conselho, CNPJ, contato, políticas, termos, canal do encarregado de dados</w:t>
            </w:r>
          </w:p>
        </w:tc>
        <w:tc>
          <w:tcPr>
            <w:tcW w:type="dxa" w:w="3044"/>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Exigência de transparência e de responsabilidade técnica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4D41" w:sz="24"/>
              <w:bottom w:val="none" w:color="FFFFFF" w:sz="0"/>
              <w:right w:val="none" w:color="FFFFFF" w:sz="0"/>
            </w:tcBorders>
            <w:shd w:fill="FBEDEB" w:color="auto" w:val="clear"/>
            <w:tcMar>
              <w:top w:type="dxa" w:w="140"/>
              <w:left w:type="dxa" w:w="220"/>
              <w:bottom w:type="dxa" w:w="120"/>
              <w:right w:type="dxa" w:w="200"/>
            </w:tcMar>
          </w:tcPr>
          <w:p>
            <w:pPr>
              <w:spacing w:after="80"/>
            </w:pPr>
            <w:r>
              <w:rPr>
                <w:b/>
                <w:bCs/>
                <w:color w:val="C94D41"/>
                <w:sz w:val="20"/>
                <w:szCs w:val="20"/>
              </w:rPr>
              <w:t xml:space="preserve">O que a página inicial não tem</w:t>
            </w:r>
          </w:p>
          <w:p>
            <w:pPr>
              <w:spacing w:after="70" w:line="280"/>
            </w:pPr>
            <w:r>
              <w:rPr>
                <w:sz w:val="19"/>
                <w:szCs w:val="19"/>
              </w:rPr>
              <w:t xml:space="preserve">Questionário de triagem, contadores de “crianças atendidas”, depoimentos com fotos de crianças sem autorização específica, comparação com concorrentes, linguagem de cura ou de transformação garantida, e animações automáticas que não possam ser pausadas. Como referência de desempenho, a página deve carregar o conteúdo principal rapidamente em conexão móvel comum (meta de LCP abaixo de 2,5 s), com imagens otimizadas e sem bibliotecas de animação pesadas.</w:t>
            </w:r>
          </w:p>
        </w:tc>
      </w:tr>
    </w:tbl>
    <w:p>
      <w:pPr>
        <w:spacing w:after="120"/>
      </w:pPr>
    </w:p>
    <w:p>
      <w:pPr>
        <w:pStyle w:val="Heading2"/>
        <w:keepNext/>
      </w:pPr>
      <w:r>
        <w:t xml:space="preserve">10.10 Telas de acesso</w:t>
      </w:r>
    </w:p>
    <w:p>
      <w:pPr>
        <w:spacing w:after="140" w:before="0" w:line="300"/>
        <w:jc w:val="left"/>
      </w:pPr>
      <w:r>
        <w:t xml:space="preserve">O acesso tem três portas, porque os três públicos que entram na plataforma têm riscos e necessidades diferentes. A tela Entrar apresenta duas opções claras, “Sou profissional” e “Sou responsável por uma criança”, e uma terceira, discreta, “Abrir sessão de uma criança neste aparelho”, que exige um profissional ou responsável já autenticado.</w:t>
      </w:r>
    </w:p>
    <w:p>
      <w:pPr>
        <w:pStyle w:val="Heading3"/>
        <w:keepNext/>
      </w:pPr>
      <w:r>
        <w:t xml:space="preserve">Profissional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82"/>
        <w:gridCol w:w="7356"/>
      </w:tblGrid>
      <w:tr>
        <w:trPr>
          <w:tblHeader/>
        </w:trPr>
        <w:tc>
          <w:tcPr>
            <w:tcW w:type="dxa" w:w="2282"/>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Elemento</w:t>
            </w:r>
          </w:p>
        </w:tc>
        <w:tc>
          <w:tcPr>
            <w:tcW w:type="dxa" w:w="7356"/>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Especificação</w:t>
            </w:r>
          </w:p>
        </w:tc>
      </w:tr>
      <w:tr>
        <w:trPr>
          <w:cantSplit/>
        </w:trPr>
        <w:tc>
          <w:tcPr>
            <w:tcW w:type="dxa" w:w="228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Formulário</w:t>
            </w:r>
          </w:p>
        </w:tc>
        <w:tc>
          <w:tcPr>
            <w:tcW w:type="dxa" w:w="735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E-mail e senha, com mostrar e ocultar senha, rótulos visíveis (não apenas texto de exemplo), preenchimento automático habilitado e mensagens de erro junto ao campo</w:t>
            </w:r>
          </w:p>
        </w:tc>
      </w:tr>
      <w:tr>
        <w:trPr>
          <w:cantSplit/>
        </w:trPr>
        <w:tc>
          <w:tcPr>
            <w:tcW w:type="dxa" w:w="228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Segundo fator</w:t>
            </w:r>
          </w:p>
        </w:tc>
        <w:tc>
          <w:tcPr>
            <w:tcW w:type="dxa" w:w="735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Obrigatório para quem acessa prontuário: aplicativo autenticador ou chave de acesso (passkey); código por SMS apenas como recuperação</w:t>
            </w:r>
          </w:p>
        </w:tc>
      </w:tr>
      <w:tr>
        <w:trPr>
          <w:cantSplit/>
        </w:trPr>
        <w:tc>
          <w:tcPr>
            <w:tcW w:type="dxa" w:w="228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Chaves de acesso</w:t>
            </w:r>
          </w:p>
        </w:tc>
        <w:tc>
          <w:tcPr>
            <w:tcW w:type="dxa" w:w="735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Oferecidas após o primeiro acesso como forma preferencial, por serem resistentes a phishing</w:t>
            </w:r>
          </w:p>
        </w:tc>
      </w:tr>
      <w:tr>
        <w:trPr>
          <w:cantSplit/>
        </w:trPr>
        <w:tc>
          <w:tcPr>
            <w:tcW w:type="dxa" w:w="228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Erros</w:t>
            </w:r>
          </w:p>
        </w:tc>
        <w:tc>
          <w:tcPr>
            <w:tcW w:type="dxa" w:w="735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Mensagem única para usuário ou senha incorretos, sem revelar se o e-mail existe; bloqueio progressivo após tentativas falhas, com aviso ao titular</w:t>
            </w:r>
          </w:p>
        </w:tc>
      </w:tr>
      <w:tr>
        <w:trPr>
          <w:cantSplit/>
        </w:trPr>
        <w:tc>
          <w:tcPr>
            <w:tcW w:type="dxa" w:w="228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Recuperação</w:t>
            </w:r>
          </w:p>
        </w:tc>
        <w:tc>
          <w:tcPr>
            <w:tcW w:type="dxa" w:w="735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Link de uso único com validade curta; após redefinição, encerramento das outras sessões ativas</w:t>
            </w:r>
          </w:p>
        </w:tc>
      </w:tr>
      <w:tr>
        <w:trPr>
          <w:cantSplit/>
        </w:trPr>
        <w:tc>
          <w:tcPr>
            <w:tcW w:type="dxa" w:w="228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Dispositivo compartilhado</w:t>
            </w:r>
          </w:p>
        </w:tc>
        <w:tc>
          <w:tcPr>
            <w:tcW w:type="dxa" w:w="735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Opção “aparelho da clínica”: sessão mais curta, sem lembrar usuário, saída automática por inatividade</w:t>
            </w:r>
          </w:p>
        </w:tc>
      </w:tr>
      <w:tr>
        <w:trPr>
          <w:cantSplit/>
        </w:trPr>
        <w:tc>
          <w:tcPr>
            <w:tcW w:type="dxa" w:w="228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Visual</w:t>
            </w:r>
          </w:p>
        </w:tc>
        <w:tc>
          <w:tcPr>
            <w:tcW w:type="dxa" w:w="735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Superfície profissional: fundo claro, marca discreta, uma coluna centralizada; ao lado, em telas largas, uma frase sobre a fundamentação e o selo de segurança</w:t>
            </w:r>
          </w:p>
        </w:tc>
      </w:tr>
    </w:tbl>
    <w:p>
      <w:pPr>
        <w:spacing w:after="120"/>
      </w:pPr>
    </w:p>
    <w:p>
      <w:pPr>
        <w:pStyle w:val="Heading3"/>
        <w:keepNext/>
      </w:pPr>
      <w:r>
        <w:t xml:space="preserve">Família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82"/>
        <w:gridCol w:w="7356"/>
      </w:tblGrid>
      <w:tr>
        <w:trPr>
          <w:tblHeader/>
        </w:trPr>
        <w:tc>
          <w:tcPr>
            <w:tcW w:type="dxa" w:w="2282"/>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Elemento</w:t>
            </w:r>
          </w:p>
        </w:tc>
        <w:tc>
          <w:tcPr>
            <w:tcW w:type="dxa" w:w="7356"/>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Especificação</w:t>
            </w:r>
          </w:p>
        </w:tc>
      </w:tr>
      <w:tr>
        <w:trPr>
          <w:cantSplit/>
        </w:trPr>
        <w:tc>
          <w:tcPr>
            <w:tcW w:type="dxa" w:w="228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Entrada por convite</w:t>
            </w:r>
          </w:p>
        </w:tc>
        <w:tc>
          <w:tcPr>
            <w:tcW w:type="dxa" w:w="735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O primeiro acesso parte sempre do convite enviado pelo profissional, com link de uso único. Não há cadastro aberto de família.</w:t>
            </w:r>
          </w:p>
        </w:tc>
      </w:tr>
      <w:tr>
        <w:trPr>
          <w:cantSplit/>
        </w:trPr>
        <w:tc>
          <w:tcPr>
            <w:tcW w:type="dxa" w:w="228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Primeiro acesso</w:t>
            </w:r>
          </w:p>
        </w:tc>
        <w:tc>
          <w:tcPr>
            <w:tcW w:type="dxa" w:w="735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Criação de senha, confirmação de identidade (dados combinados com o profissional), leitura e aceite dos consentimentos, um por finalidade, em linguagem simples e com resumo antes do texto integral</w:t>
            </w:r>
          </w:p>
        </w:tc>
      </w:tr>
      <w:tr>
        <w:trPr>
          <w:cantSplit/>
        </w:trPr>
        <w:tc>
          <w:tcPr>
            <w:tcW w:type="dxa" w:w="228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Acessos seguintes</w:t>
            </w:r>
          </w:p>
        </w:tc>
        <w:tc>
          <w:tcPr>
            <w:tcW w:type="dxa" w:w="735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E-mail e senha ou link mágico por e-mail; segundo fator recomendado e oferecido</w:t>
            </w:r>
          </w:p>
        </w:tc>
      </w:tr>
      <w:tr>
        <w:trPr>
          <w:cantSplit/>
        </w:trPr>
        <w:tc>
          <w:tcPr>
            <w:tcW w:type="dxa" w:w="228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Visual</w:t>
            </w:r>
          </w:p>
        </w:tc>
        <w:tc>
          <w:tcPr>
            <w:tcW w:type="dxa" w:w="735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Tom acolhedor, tipografia maior, ilustração calma; explicação curta sobre o que a família verá na plataforma</w:t>
            </w:r>
          </w:p>
        </w:tc>
      </w:tr>
    </w:tbl>
    <w:p>
      <w:pPr>
        <w:spacing w:after="120"/>
      </w:pPr>
    </w:p>
    <w:p>
      <w:pPr>
        <w:pStyle w:val="Heading3"/>
        <w:keepNext/>
      </w:pPr>
      <w:r>
        <w:t xml:space="preserve">Abertura de sessão da criança</w:t>
      </w:r>
    </w:p>
    <w:p>
      <w:pPr>
        <w:spacing w:after="140" w:before="0" w:line="300"/>
        <w:jc w:val="left"/>
      </w:pPr>
      <w:r>
        <w:t xml:space="preserve">A criança não faz login. O adulto autenticado escolhe a criança e a sessão do dia; o aparelho recebe um token temporário e entra no modo supervisionado. Para o modo com dois aparelhos, o tablet da criança mostra um código curto e um QR, que o celular do profissional lê para parear. O PIN de quatro dígitos, quando usado, serve apenas para o adulto retomar ou encerrar a tela, nunca como credencial da criança.</w:t>
      </w:r>
    </w:p>
    <w:p>
      <w:pPr>
        <w:pStyle w:val="Heading2"/>
        <w:keepNext/>
      </w:pPr>
      <w:r>
        <w:t xml:space="preserve">10.11 Primeira experiência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7609"/>
      </w:tblGrid>
      <w:tr>
        <w:trPr>
          <w:tblHeader/>
        </w:trPr>
        <w:tc>
          <w:tcPr>
            <w:tcW w:type="dxa" w:w="2029"/>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Perfil</w:t>
            </w:r>
          </w:p>
        </w:tc>
        <w:tc>
          <w:tcPr>
            <w:tcW w:type="dxa" w:w="7609"/>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Fluxo do primeiro uso</w:t>
            </w:r>
          </w:p>
        </w:tc>
      </w:tr>
      <w:tr>
        <w:trPr>
          <w:cantSplit/>
        </w:trPr>
        <w:tc>
          <w:tcPr>
            <w:tcW w:type="dxa" w:w="202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Organização</w:t>
            </w:r>
          </w:p>
        </w:tc>
        <w:tc>
          <w:tcPr>
            <w:tcW w:type="dxa" w:w="760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Cadastro da organização, do responsável técnico com número de registro no conselho, aceite do contrato e do acordo de tratamento de dados, configuração de padrões (critérios, hierarquias de dicas, limites de tela), convite da equipe</w:t>
            </w:r>
          </w:p>
        </w:tc>
      </w:tr>
      <w:tr>
        <w:trPr>
          <w:cantSplit/>
        </w:trPr>
        <w:tc>
          <w:tcPr>
            <w:tcW w:type="dxa" w:w="202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Profissional convidado</w:t>
            </w:r>
          </w:p>
        </w:tc>
        <w:tc>
          <w:tcPr>
            <w:tcW w:type="dxa" w:w="760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Ativação da conta e do segundo fator, perfil profissional, trilha curta de introdução com caso fictício de demonstração (um caso ABA e um caso Denver), registro de competências declaradas</w:t>
            </w:r>
          </w:p>
        </w:tc>
      </w:tr>
      <w:tr>
        <w:trPr>
          <w:cantSplit/>
        </w:trPr>
        <w:tc>
          <w:tcPr>
            <w:tcW w:type="dxa" w:w="202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Primeiro caso</w:t>
            </w:r>
          </w:p>
        </w:tc>
        <w:tc>
          <w:tcPr>
            <w:tcW w:type="dxa" w:w="760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Assistente guiado: cadastro da criança, convite à família, consentimentos, escolha do modelo com explicação das consequências, avaliação inicial, perfil sensorial, primeiro plano em rascunho</w:t>
            </w:r>
          </w:p>
        </w:tc>
      </w:tr>
      <w:tr>
        <w:trPr>
          <w:cantSplit/>
        </w:trPr>
        <w:tc>
          <w:tcPr>
            <w:tcW w:type="dxa" w:w="202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Família</w:t>
            </w:r>
          </w:p>
        </w:tc>
        <w:tc>
          <w:tcPr>
            <w:tcW w:type="dxa" w:w="760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Convite, consentimentos, tour de três telas (o que está sendo trabalhado, como acompanhar, como registrar tarefas), preferência de notificações</w:t>
            </w:r>
          </w:p>
        </w:tc>
      </w:tr>
    </w:tbl>
    <w:p>
      <w:pPr>
        <w:spacing w:after="120"/>
      </w:pPr>
    </w:p>
    <w:p>
      <w:pPr>
        <w:spacing w:after="140" w:before="0" w:line="300"/>
        <w:jc w:val="left"/>
      </w:pPr>
      <w:r>
        <w:t xml:space="preserve">O caso de demonstração tem dois propósitos. Ele permite ao profissional explorar todas as telas sem criar dados reais, e serve de material de treino da equipe. Seus dados são sintéticos, ficam marcados visualmente como demonstração e nunca entram em painéis ou relatórios reais.</w:t>
      </w:r>
    </w:p>
    <w:p>
      <w:pPr>
        <w:pStyle w:val="Heading1"/>
        <w:pageBreakBefore/>
      </w:pPr>
      <w:r>
        <w:t xml:space="preserve">11. Design system</w:t>
      </w:r>
    </w:p>
    <w:p>
      <w:pPr>
        <w:pStyle w:val="Heading2"/>
        <w:keepNext/>
      </w:pPr>
      <w:r>
        <w:t xml:space="preserve">11.1 Direção visual</w:t>
      </w:r>
    </w:p>
    <w:p>
      <w:pPr>
        <w:spacing w:after="140" w:before="0" w:line="300"/>
        <w:jc w:val="left"/>
      </w:pPr>
      <w:r>
        <w:t xml:space="preserve">As bases já apontavam caminhos: o PsicoPlayKids define a direção “profissional por fora, acolhedor por dentro”, com teal profissional, lavanda e verde-sálvia, e o Terapia-Arcade usa uma paleta natural de areia, sálvia e terracota. A nova plataforma unifica as duas em um único sistema de tokens com três camadas: neutros e estrutura (compartilhados), superfície profissional (densa, informativa, sóbria) e superfície infantil (calma, de baixo estímulo por padrão, com variações por faixa etária e perfil sensorial).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36"/>
        <w:gridCol w:w="3043"/>
        <w:gridCol w:w="4059"/>
      </w:tblGrid>
      <w:tr>
        <w:trPr>
          <w:tblHeader/>
        </w:trPr>
        <w:tc>
          <w:tcPr>
            <w:tcW w:type="dxa" w:w="2536"/>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Token</w:t>
            </w:r>
          </w:p>
        </w:tc>
        <w:tc>
          <w:tcPr>
            <w:tcW w:type="dxa" w:w="3043"/>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Valor</w:t>
            </w:r>
          </w:p>
        </w:tc>
        <w:tc>
          <w:tcPr>
            <w:tcW w:type="dxa" w:w="4059"/>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Uso</w:t>
            </w:r>
          </w:p>
        </w:tc>
      </w:tr>
      <w:tr>
        <w:trPr>
          <w:cantSplit/>
        </w:trPr>
        <w:tc>
          <w:tcPr>
            <w:tcW w:type="dxa" w:w="253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bg.base</w:t>
            </w:r>
          </w:p>
        </w:tc>
        <w:tc>
          <w:tcPr>
            <w:tcW w:type="dxa" w:w="304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#F7F7F5</w:t>
            </w:r>
          </w:p>
        </w:tc>
        <w:tc>
          <w:tcPr>
            <w:tcW w:type="dxa" w:w="405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Fundo geral (branco quebrado)</w:t>
            </w:r>
          </w:p>
        </w:tc>
      </w:tr>
      <w:tr>
        <w:trPr>
          <w:cantSplit/>
        </w:trPr>
        <w:tc>
          <w:tcPr>
            <w:tcW w:type="dxa" w:w="253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bg.surface</w:t>
            </w:r>
          </w:p>
        </w:tc>
        <w:tc>
          <w:tcPr>
            <w:tcW w:type="dxa" w:w="3043"/>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#FFFFFF</w:t>
            </w:r>
          </w:p>
        </w:tc>
        <w:tc>
          <w:tcPr>
            <w:tcW w:type="dxa" w:w="405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Cartões e modais</w:t>
            </w:r>
          </w:p>
        </w:tc>
      </w:tr>
      <w:tr>
        <w:trPr>
          <w:cantSplit/>
        </w:trPr>
        <w:tc>
          <w:tcPr>
            <w:tcW w:type="dxa" w:w="253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text.primary</w:t>
            </w:r>
          </w:p>
        </w:tc>
        <w:tc>
          <w:tcPr>
            <w:tcW w:type="dxa" w:w="304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#20242A</w:t>
            </w:r>
          </w:p>
        </w:tc>
        <w:tc>
          <w:tcPr>
            <w:tcW w:type="dxa" w:w="405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Texto principal (grafite)</w:t>
            </w:r>
          </w:p>
        </w:tc>
      </w:tr>
      <w:tr>
        <w:trPr>
          <w:cantSplit/>
        </w:trPr>
        <w:tc>
          <w:tcPr>
            <w:tcW w:type="dxa" w:w="253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text.secondary</w:t>
            </w:r>
          </w:p>
        </w:tc>
        <w:tc>
          <w:tcPr>
            <w:tcW w:type="dxa" w:w="3043"/>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#667085</w:t>
            </w:r>
          </w:p>
        </w:tc>
        <w:tc>
          <w:tcPr>
            <w:tcW w:type="dxa" w:w="405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Rótulos e apoio</w:t>
            </w:r>
          </w:p>
        </w:tc>
      </w:tr>
      <w:tr>
        <w:trPr>
          <w:cantSplit/>
        </w:trPr>
        <w:tc>
          <w:tcPr>
            <w:tcW w:type="dxa" w:w="253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brand.primary</w:t>
            </w:r>
          </w:p>
        </w:tc>
        <w:tc>
          <w:tcPr>
            <w:tcW w:type="dxa" w:w="304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#1B5E63</w:t>
            </w:r>
          </w:p>
        </w:tc>
        <w:tc>
          <w:tcPr>
            <w:tcW w:type="dxa" w:w="405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Teal profissional: ações principais, cabeçalhos</w:t>
            </w:r>
          </w:p>
        </w:tc>
      </w:tr>
      <w:tr>
        <w:trPr>
          <w:cantSplit/>
        </w:trPr>
        <w:tc>
          <w:tcPr>
            <w:tcW w:type="dxa" w:w="253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brand.primary.dark</w:t>
            </w:r>
          </w:p>
        </w:tc>
        <w:tc>
          <w:tcPr>
            <w:tcW w:type="dxa" w:w="3043"/>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#134449</w:t>
            </w:r>
          </w:p>
        </w:tc>
        <w:tc>
          <w:tcPr>
            <w:tcW w:type="dxa" w:w="405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Hover e foco</w:t>
            </w:r>
          </w:p>
        </w:tc>
      </w:tr>
      <w:tr>
        <w:trPr>
          <w:cantSplit/>
        </w:trPr>
        <w:tc>
          <w:tcPr>
            <w:tcW w:type="dxa" w:w="253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model.aba</w:t>
            </w:r>
          </w:p>
        </w:tc>
        <w:tc>
          <w:tcPr>
            <w:tcW w:type="dxa" w:w="304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#1B5E63 com rótulo “ABA”</w:t>
            </w:r>
          </w:p>
        </w:tc>
        <w:tc>
          <w:tcPr>
            <w:tcW w:type="dxa" w:w="405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Identificação do modelo do caso (sempre com rótulo, nunca só cor)</w:t>
            </w:r>
          </w:p>
        </w:tc>
      </w:tr>
      <w:tr>
        <w:trPr>
          <w:cantSplit/>
        </w:trPr>
        <w:tc>
          <w:tcPr>
            <w:tcW w:type="dxa" w:w="253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model.denver</w:t>
            </w:r>
          </w:p>
        </w:tc>
        <w:tc>
          <w:tcPr>
            <w:tcW w:type="dxa" w:w="3043"/>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#7B6BA8 com rótulo “Denver”</w:t>
            </w:r>
          </w:p>
        </w:tc>
        <w:tc>
          <w:tcPr>
            <w:tcW w:type="dxa" w:w="405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Identificação do modelo do caso</w:t>
            </w:r>
          </w:p>
        </w:tc>
      </w:tr>
      <w:tr>
        <w:trPr>
          <w:cantSplit/>
        </w:trPr>
        <w:tc>
          <w:tcPr>
            <w:tcW w:type="dxa" w:w="253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child.calm</w:t>
            </w:r>
          </w:p>
        </w:tc>
        <w:tc>
          <w:tcPr>
            <w:tcW w:type="dxa" w:w="304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#EAE7DF / #A7BFA0 / #5C8D89</w:t>
            </w:r>
          </w:p>
        </w:tc>
        <w:tc>
          <w:tcPr>
            <w:tcW w:type="dxa" w:w="405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Paleta infantil de baixo estímulo (areia, sálvia, teal suave)</w:t>
            </w:r>
          </w:p>
        </w:tc>
      </w:tr>
      <w:tr>
        <w:trPr>
          <w:cantSplit/>
        </w:trPr>
        <w:tc>
          <w:tcPr>
            <w:tcW w:type="dxa" w:w="253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child.vivid</w:t>
            </w:r>
          </w:p>
        </w:tc>
        <w:tc>
          <w:tcPr>
            <w:tcW w:type="dxa" w:w="3043"/>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#E5B55F / #D68C71 / #7186D6</w:t>
            </w:r>
          </w:p>
        </w:tc>
        <w:tc>
          <w:tcPr>
            <w:tcW w:type="dxa" w:w="405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Acentos para crianças que toleram e se beneficiam de mais contraste</w:t>
            </w:r>
          </w:p>
        </w:tc>
      </w:tr>
      <w:tr>
        <w:trPr>
          <w:cantSplit/>
        </w:trPr>
        <w:tc>
          <w:tcPr>
            <w:tcW w:type="dxa" w:w="253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phase.baseline</w:t>
            </w:r>
            <w:r>
              <w:rPr>
                <w:sz w:val="18"/>
                <w:szCs w:val="18"/>
              </w:rPr>
              <w:t xml:space="preserve"> … </w:t>
            </w:r>
            <w:r>
              <w:rPr>
                <w:rFonts w:ascii="Courier New" w:cs="Courier New" w:eastAsia="Courier New" w:hAnsi="Courier New"/>
                <w:sz w:val="18"/>
                <w:szCs w:val="18"/>
              </w:rPr>
              <w:t xml:space="preserve">phase.maintenance</w:t>
            </w:r>
          </w:p>
        </w:tc>
        <w:tc>
          <w:tcPr>
            <w:tcW w:type="dxa" w:w="304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Cinza, âmbar, teal, verde, lavanda</w:t>
            </w:r>
          </w:p>
        </w:tc>
        <w:tc>
          <w:tcPr>
            <w:tcW w:type="dxa" w:w="405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Fases do alvo, sempre acompanhadas de rótulo</w:t>
            </w:r>
          </w:p>
        </w:tc>
      </w:tr>
      <w:tr>
        <w:trPr>
          <w:cantSplit/>
        </w:trPr>
        <w:tc>
          <w:tcPr>
            <w:tcW w:type="dxa" w:w="253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rFonts w:ascii="Courier New" w:cs="Courier New" w:eastAsia="Courier New" w:hAnsi="Courier New"/>
                <w:sz w:val="18"/>
                <w:szCs w:val="18"/>
              </w:rPr>
              <w:t xml:space="preserve">status.success</w:t>
            </w:r>
            <w:r>
              <w:rPr>
                <w:sz w:val="18"/>
                <w:szCs w:val="18"/>
              </w:rPr>
              <w:t xml:space="preserve"> / </w:t>
            </w:r>
            <w:r>
              <w:rPr>
                <w:rFonts w:ascii="Courier New" w:cs="Courier New" w:eastAsia="Courier New" w:hAnsi="Courier New"/>
                <w:sz w:val="18"/>
                <w:szCs w:val="18"/>
              </w:rPr>
              <w:t xml:space="preserve">warning</w:t>
            </w:r>
            <w:r>
              <w:rPr>
                <w:sz w:val="18"/>
                <w:szCs w:val="18"/>
              </w:rPr>
              <w:t xml:space="preserve"> / </w:t>
            </w:r>
            <w:r>
              <w:rPr>
                <w:rFonts w:ascii="Courier New" w:cs="Courier New" w:eastAsia="Courier New" w:hAnsi="Courier New"/>
                <w:sz w:val="18"/>
                <w:szCs w:val="18"/>
              </w:rPr>
              <w:t xml:space="preserve">danger</w:t>
            </w:r>
            <w:r>
              <w:rPr>
                <w:sz w:val="18"/>
                <w:szCs w:val="18"/>
              </w:rPr>
              <w:t xml:space="preserve"> / </w:t>
            </w:r>
            <w:r>
              <w:rPr>
                <w:rFonts w:ascii="Courier New" w:cs="Courier New" w:eastAsia="Courier New" w:hAnsi="Courier New"/>
                <w:sz w:val="18"/>
                <w:szCs w:val="18"/>
              </w:rPr>
              <w:t xml:space="preserve">info</w:t>
            </w:r>
          </w:p>
        </w:tc>
        <w:tc>
          <w:tcPr>
            <w:tcW w:type="dxa" w:w="3043"/>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#27A376 / #E8A052 / #C94D41 / #5B7FA6</w:t>
            </w:r>
          </w:p>
        </w:tc>
        <w:tc>
          <w:tcPr>
            <w:tcW w:type="dxa" w:w="405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Estados (com ícone e texto)</w:t>
            </w:r>
          </w:p>
        </w:tc>
      </w:tr>
    </w:tbl>
    <w:p>
      <w:pPr>
        <w:spacing w:after="120"/>
      </w:pPr>
    </w:p>
    <w:p>
      <w:pPr>
        <w:pStyle w:val="Heading2"/>
        <w:keepNext/>
      </w:pPr>
      <w:r>
        <w:t xml:space="preserve">11.2 Tipografia</w:t>
      </w:r>
    </w:p>
    <w:p>
      <w:pPr>
        <w:spacing w:after="140" w:before="0" w:line="300"/>
        <w:jc w:val="left"/>
      </w:pPr>
      <w:r>
        <w:t xml:space="preserve">Interface profissional em Plus Jakarta Sans (já usada no Terapia-Arcade), com números tabulares em gráficos e tabelas. Superfície infantil com Fredoka para títulos curtos e Plus Jakarta Sans para o restante. Opção de acessibilidade com Atkinson Hyperlegible para profissionais, familiares ou adolescentes com baixa visão ou dificuldade de leitura. Tamanhos em </w:t>
      </w:r>
      <w:r>
        <w:rPr>
          <w:rFonts w:ascii="Courier New" w:cs="Courier New" w:eastAsia="Courier New" w:hAnsi="Courier New"/>
          <w:sz w:val="19"/>
          <w:szCs w:val="19"/>
        </w:rPr>
        <w:t xml:space="preserve">rem</w:t>
      </w:r>
      <w:r>
        <w:t xml:space="preserve">, suporte a ampliação de 200% sem perda de conteúdo, linhas de no máximo 80 caracteres em textos longos e alinhamento à esquerda.</w:t>
      </w:r>
    </w:p>
    <w:p>
      <w:pPr>
        <w:pStyle w:val="Heading2"/>
        <w:keepNext/>
      </w:pPr>
      <w:r>
        <w:t xml:space="preserve">11.3 Componentes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36"/>
        <w:gridCol w:w="7102"/>
      </w:tblGrid>
      <w:tr>
        <w:trPr>
          <w:tblHeader/>
        </w:trPr>
        <w:tc>
          <w:tcPr>
            <w:tcW w:type="dxa" w:w="2536"/>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Componente</w:t>
            </w:r>
          </w:p>
        </w:tc>
        <w:tc>
          <w:tcPr>
            <w:tcW w:type="dxa" w:w="7102"/>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Especificação</w:t>
            </w:r>
          </w:p>
        </w:tc>
      </w:tr>
      <w:tr>
        <w:trPr>
          <w:cantSplit/>
        </w:trPr>
        <w:tc>
          <w:tcPr>
            <w:tcW w:type="dxa" w:w="253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Botão de resposta de tentativa</w:t>
            </w:r>
          </w:p>
        </w:tc>
        <w:tc>
          <w:tcPr>
            <w:tcW w:type="dxa" w:w="71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Altura mínima de 64 px, área de toque estendida, ícone e rótulo, retorno tátil (vibração) quando suportado</w:t>
            </w:r>
          </w:p>
        </w:tc>
      </w:tr>
      <w:tr>
        <w:trPr>
          <w:cantSplit/>
        </w:trPr>
        <w:tc>
          <w:tcPr>
            <w:tcW w:type="dxa" w:w="253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Seletor de dica</w:t>
            </w:r>
          </w:p>
        </w:tc>
        <w:tc>
          <w:tcPr>
            <w:tcW w:type="dxa" w:w="710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Controle segmentado com níveis da hierarquia; estado selecionado com borda e preenchimento, não só cor</w:t>
            </w:r>
          </w:p>
        </w:tc>
      </w:tr>
      <w:tr>
        <w:trPr>
          <w:cantSplit/>
        </w:trPr>
        <w:tc>
          <w:tcPr>
            <w:tcW w:type="dxa" w:w="253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Cartão de caso</w:t>
            </w:r>
          </w:p>
        </w:tc>
        <w:tc>
          <w:tcPr>
            <w:tcW w:type="dxa" w:w="71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Nome, idade, selo de modelo, contagem por fase, pendências; navegável por teclado</w:t>
            </w:r>
          </w:p>
        </w:tc>
      </w:tr>
      <w:tr>
        <w:trPr>
          <w:cantSplit/>
        </w:trPr>
        <w:tc>
          <w:tcPr>
            <w:tcW w:type="dxa" w:w="253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Gráfico de alvo</w:t>
            </w:r>
          </w:p>
        </w:tc>
        <w:tc>
          <w:tcPr>
            <w:tcW w:type="dxa" w:w="710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Componente próprio em SVG acessível, com tabela alternativa de dados para leitores de tela</w:t>
            </w:r>
          </w:p>
        </w:tc>
      </w:tr>
      <w:tr>
        <w:trPr>
          <w:cantSplit/>
        </w:trPr>
        <w:tc>
          <w:tcPr>
            <w:tcW w:type="dxa" w:w="253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Diálogos</w:t>
            </w:r>
          </w:p>
        </w:tc>
        <w:tc>
          <w:tcPr>
            <w:tcW w:type="dxa" w:w="71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Elemento nativo </w:t>
            </w:r>
            <w:r>
              <w:rPr>
                <w:rFonts w:ascii="Courier New" w:cs="Courier New" w:eastAsia="Courier New" w:hAnsi="Courier New"/>
                <w:b w:val="false"/>
                <w:bCs w:val="false"/>
                <w:sz w:val="18"/>
                <w:szCs w:val="18"/>
              </w:rPr>
              <w:t xml:space="preserve">dialog</w:t>
            </w:r>
            <w:r>
              <w:rPr>
                <w:b w:val="false"/>
                <w:bCs w:val="false"/>
                <w:sz w:val="18"/>
                <w:szCs w:val="18"/>
              </w:rPr>
              <w:t xml:space="preserve"> aberto com </w:t>
            </w:r>
            <w:r>
              <w:rPr>
                <w:rFonts w:ascii="Courier New" w:cs="Courier New" w:eastAsia="Courier New" w:hAnsi="Courier New"/>
                <w:b w:val="false"/>
                <w:bCs w:val="false"/>
                <w:sz w:val="18"/>
                <w:szCs w:val="18"/>
              </w:rPr>
              <w:t xml:space="preserve">showModal()</w:t>
            </w:r>
            <w:r>
              <w:rPr>
                <w:b w:val="false"/>
                <w:bCs w:val="false"/>
                <w:sz w:val="18"/>
                <w:szCs w:val="18"/>
              </w:rPr>
              <w:t xml:space="preserve">, que torna o restante da página inerte sem armadilha de foco manual</w:t>
            </w:r>
          </w:p>
        </w:tc>
      </w:tr>
      <w:tr>
        <w:trPr>
          <w:cantSplit/>
        </w:trPr>
        <w:tc>
          <w:tcPr>
            <w:tcW w:type="dxa" w:w="253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Anúncios</w:t>
            </w:r>
          </w:p>
        </w:tc>
        <w:tc>
          <w:tcPr>
            <w:tcW w:type="dxa" w:w="710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Uma região </w:t>
            </w:r>
            <w:r>
              <w:rPr>
                <w:rFonts w:ascii="Courier New" w:cs="Courier New" w:eastAsia="Courier New" w:hAnsi="Courier New"/>
                <w:b w:val="false"/>
                <w:bCs w:val="false"/>
                <w:sz w:val="18"/>
                <w:szCs w:val="18"/>
              </w:rPr>
              <w:t xml:space="preserve">polite</w:t>
            </w:r>
            <w:r>
              <w:rPr>
                <w:b w:val="false"/>
                <w:bCs w:val="false"/>
                <w:sz w:val="18"/>
                <w:szCs w:val="18"/>
              </w:rPr>
              <w:t xml:space="preserve"> e uma </w:t>
            </w:r>
            <w:r>
              <w:rPr>
                <w:rFonts w:ascii="Courier New" w:cs="Courier New" w:eastAsia="Courier New" w:hAnsi="Courier New"/>
                <w:b w:val="false"/>
                <w:bCs w:val="false"/>
                <w:sz w:val="18"/>
                <w:szCs w:val="18"/>
              </w:rPr>
              <w:t xml:space="preserve">assertive</w:t>
            </w:r>
            <w:r>
              <w:rPr>
                <w:b w:val="false"/>
                <w:bCs w:val="false"/>
                <w:sz w:val="18"/>
                <w:szCs w:val="18"/>
              </w:rPr>
              <w:t xml:space="preserve"> centralizadas por página; </w:t>
            </w:r>
            <w:r>
              <w:rPr>
                <w:rFonts w:ascii="Courier New" w:cs="Courier New" w:eastAsia="Courier New" w:hAnsi="Courier New"/>
                <w:b w:val="false"/>
                <w:bCs w:val="false"/>
                <w:sz w:val="18"/>
                <w:szCs w:val="18"/>
              </w:rPr>
              <w:t xml:space="preserve">assertive</w:t>
            </w:r>
            <w:r>
              <w:rPr>
                <w:b w:val="false"/>
                <w:bCs w:val="false"/>
                <w:sz w:val="18"/>
                <w:szCs w:val="18"/>
              </w:rPr>
              <w:t xml:space="preserve"> apenas para perda de conexão com dados pendentes ou expiração de sessão</w:t>
            </w:r>
          </w:p>
        </w:tc>
      </w:tr>
      <w:tr>
        <w:trPr>
          <w:cantSplit/>
        </w:trPr>
        <w:tc>
          <w:tcPr>
            <w:tcW w:type="dxa" w:w="253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Atividade infantil</w:t>
            </w:r>
          </w:p>
        </w:tc>
        <w:tc>
          <w:tcPr>
            <w:tcW w:type="dxa" w:w="71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Contêiner em tela cheia, área de jogo responsiva por consultas de contêiner, opções em grade fixa para previsibilidade de posição</w:t>
            </w:r>
          </w:p>
        </w:tc>
      </w:tr>
    </w:tbl>
    <w:p>
      <w:pPr>
        <w:spacing w:after="120"/>
      </w:pPr>
    </w:p>
    <w:p>
      <w:pPr>
        <w:pStyle w:val="Heading2"/>
        <w:keepNext/>
      </w:pPr>
      <w:r>
        <w:t xml:space="preserve">11.4 Perfil sensorial e acessibilidade</w:t>
      </w:r>
    </w:p>
    <w:p>
      <w:pPr>
        <w:spacing w:after="140" w:before="0" w:line="300"/>
        <w:jc w:val="left"/>
      </w:pPr>
      <w:r>
        <w:t xml:space="preserve">Cada criança tem um perfil sensorial, preenchido na avaliação (M3), que se converte automaticamente na </w:t>
      </w:r>
      <w:r>
        <w:rPr>
          <w:rFonts w:ascii="Courier New" w:cs="Courier New" w:eastAsia="Courier New" w:hAnsi="Courier New"/>
          <w:sz w:val="19"/>
          <w:szCs w:val="19"/>
        </w:rPr>
        <w:t xml:space="preserve">adaptation</w:t>
      </w:r>
      <w:r>
        <w:t xml:space="preserve"> da sessão infantil, mecanismo herdado da base de referência. Os parâmetros são: movimento (completo, reduzido, estático), som (desligado, baixo, normal), feedback de acerto (nenhum, discreto, festivo), paleta (calma, vívida, alto contraste), número máximo de opções por tela, tamanho dos alvos de toque e tempo de resposta antes de dica embutida. O padrão é o perfil calmo e reduzido, e não o contrário: estímulo é acrescentado quando ajuda, não retirado quando atrapalha.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36"/>
        <w:gridCol w:w="7102"/>
      </w:tblGrid>
      <w:tr>
        <w:trPr>
          <w:tblHeader/>
        </w:trPr>
        <w:tc>
          <w:tcPr>
            <w:tcW w:type="dxa" w:w="2536"/>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Requisito</w:t>
            </w:r>
          </w:p>
        </w:tc>
        <w:tc>
          <w:tcPr>
            <w:tcW w:type="dxa" w:w="7102"/>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Padrão</w:t>
            </w:r>
          </w:p>
        </w:tc>
      </w:tr>
      <w:tr>
        <w:trPr>
          <w:cantSplit/>
        </w:trPr>
        <w:tc>
          <w:tcPr>
            <w:tcW w:type="dxa" w:w="253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Conformidade</w:t>
            </w:r>
          </w:p>
        </w:tc>
        <w:tc>
          <w:tcPr>
            <w:tcW w:type="dxa" w:w="71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WCAG 2.2 nível AA em toda a plataforma</w:t>
            </w:r>
          </w:p>
        </w:tc>
      </w:tr>
      <w:tr>
        <w:trPr>
          <w:cantSplit/>
        </w:trPr>
        <w:tc>
          <w:tcPr>
            <w:tcW w:type="dxa" w:w="253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Contraste</w:t>
            </w:r>
          </w:p>
        </w:tc>
        <w:tc>
          <w:tcPr>
            <w:tcW w:type="dxa" w:w="710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4,5:1 para texto normal; 3:1 para texto grande, ícones e limites de componentes</w:t>
            </w:r>
          </w:p>
        </w:tc>
      </w:tr>
      <w:tr>
        <w:trPr>
          <w:cantSplit/>
        </w:trPr>
        <w:tc>
          <w:tcPr>
            <w:tcW w:type="dxa" w:w="253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Cor</w:t>
            </w:r>
          </w:p>
        </w:tc>
        <w:tc>
          <w:tcPr>
            <w:tcW w:type="dxa" w:w="71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Nunca como único meio de transmitir estado ou significado</w:t>
            </w:r>
          </w:p>
        </w:tc>
      </w:tr>
      <w:tr>
        <w:trPr>
          <w:cantSplit/>
        </w:trPr>
        <w:tc>
          <w:tcPr>
            <w:tcW w:type="dxa" w:w="253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Movimento</w:t>
            </w:r>
          </w:p>
        </w:tc>
        <w:tc>
          <w:tcPr>
            <w:tcW w:type="dxa" w:w="710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Respeito a </w:t>
            </w:r>
            <w:r>
              <w:rPr>
                <w:rFonts w:ascii="Courier New" w:cs="Courier New" w:eastAsia="Courier New" w:hAnsi="Courier New"/>
                <w:b w:val="false"/>
                <w:bCs w:val="false"/>
                <w:sz w:val="18"/>
                <w:szCs w:val="18"/>
              </w:rPr>
              <w:t xml:space="preserve">prefers-reduced-motion</w:t>
            </w:r>
            <w:r>
              <w:rPr>
                <w:b w:val="false"/>
                <w:bCs w:val="false"/>
                <w:sz w:val="18"/>
                <w:szCs w:val="18"/>
              </w:rPr>
              <w:t xml:space="preserve">; padrão estático na superfície infantil; nenhum flash acima de três por segundo</w:t>
            </w:r>
          </w:p>
        </w:tc>
      </w:tr>
      <w:tr>
        <w:trPr>
          <w:cantSplit/>
        </w:trPr>
        <w:tc>
          <w:tcPr>
            <w:tcW w:type="dxa" w:w="253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Foco</w:t>
            </w:r>
          </w:p>
        </w:tc>
        <w:tc>
          <w:tcPr>
            <w:tcW w:type="dxa" w:w="71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rFonts w:ascii="Courier New" w:cs="Courier New" w:eastAsia="Courier New" w:hAnsi="Courier New"/>
                <w:b w:val="false"/>
                <w:bCs w:val="false"/>
                <w:sz w:val="18"/>
                <w:szCs w:val="18"/>
              </w:rPr>
              <w:t xml:space="preserve">:focus-visible</w:t>
            </w:r>
            <w:r>
              <w:rPr>
                <w:b w:val="false"/>
                <w:bCs w:val="false"/>
                <w:sz w:val="18"/>
                <w:szCs w:val="18"/>
              </w:rPr>
              <w:t xml:space="preserve"> sempre estilizado; ordem de tabulação lógica; sem </w:t>
            </w:r>
            <w:r>
              <w:rPr>
                <w:rFonts w:ascii="Courier New" w:cs="Courier New" w:eastAsia="Courier New" w:hAnsi="Courier New"/>
                <w:b w:val="false"/>
                <w:bCs w:val="false"/>
                <w:sz w:val="18"/>
                <w:szCs w:val="18"/>
              </w:rPr>
              <w:t xml:space="preserve">tabindex</w:t>
            </w:r>
            <w:r>
              <w:rPr>
                <w:b w:val="false"/>
                <w:bCs w:val="false"/>
                <w:sz w:val="18"/>
                <w:szCs w:val="18"/>
              </w:rPr>
              <w:t xml:space="preserve"> positivo</w:t>
            </w:r>
          </w:p>
        </w:tc>
      </w:tr>
      <w:tr>
        <w:trPr>
          <w:cantSplit/>
        </w:trPr>
        <w:tc>
          <w:tcPr>
            <w:tcW w:type="dxa" w:w="253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Esquemas de cor</w:t>
            </w:r>
          </w:p>
        </w:tc>
        <w:tc>
          <w:tcPr>
            <w:tcW w:type="dxa" w:w="710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Suporte a modo claro e escuro na superfície profissional, com </w:t>
            </w:r>
            <w:r>
              <w:rPr>
                <w:rFonts w:ascii="Courier New" w:cs="Courier New" w:eastAsia="Courier New" w:hAnsi="Courier New"/>
                <w:b w:val="false"/>
                <w:bCs w:val="false"/>
                <w:sz w:val="18"/>
                <w:szCs w:val="18"/>
              </w:rPr>
              <w:t xml:space="preserve">color-scheme</w:t>
            </w:r>
          </w:p>
        </w:tc>
      </w:tr>
      <w:tr>
        <w:trPr>
          <w:cantSplit/>
        </w:trPr>
        <w:tc>
          <w:tcPr>
            <w:tcW w:type="dxa" w:w="253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Formas de acesso</w:t>
            </w:r>
          </w:p>
        </w:tc>
        <w:tc>
          <w:tcPr>
            <w:tcW w:type="dxa" w:w="71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Toque, teclado, mouse e acionador externo por varredura nas atividades infantis prioritárias</w:t>
            </w:r>
          </w:p>
        </w:tc>
      </w:tr>
    </w:tbl>
    <w:p>
      <w:pPr>
        <w:spacing w:after="120"/>
      </w:pPr>
    </w:p>
    <w:p>
      <w:pPr>
        <w:pStyle w:val="Heading1"/>
        <w:pageBreakBefore/>
      </w:pPr>
      <w:r>
        <w:t xml:space="preserve">12. Arquitetura técnica da nova plataforma</w:t>
      </w:r>
    </w:p>
    <w:p>
      <w:pPr>
        <w:pStyle w:val="Heading2"/>
        <w:keepNext/>
      </w:pPr>
      <w:r>
        <w:t xml:space="preserve">12.1 Abordagens consideradas</w:t>
      </w:r>
    </w:p>
    <w:p>
      <w:pPr>
        <w:spacing w:after="140" w:before="0" w:line="300"/>
        <w:jc w:val="left"/>
      </w:pPr>
      <w:r>
        <w:t xml:space="preserve">Como a plataforma será construída do zero, a escolha de arquitetura é aberta. Três abordagens foram comparadas.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55"/>
        <w:gridCol w:w="2916"/>
        <w:gridCol w:w="2409"/>
        <w:gridCol w:w="2158"/>
      </w:tblGrid>
      <w:tr>
        <w:trPr>
          <w:tblHeader/>
        </w:trPr>
        <w:tc>
          <w:tcPr>
            <w:tcW w:type="dxa" w:w="2155"/>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Abordagem</w:t>
            </w:r>
          </w:p>
        </w:tc>
        <w:tc>
          <w:tcPr>
            <w:tcW w:type="dxa" w:w="2916"/>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Descrição</w:t>
            </w:r>
          </w:p>
        </w:tc>
        <w:tc>
          <w:tcPr>
            <w:tcW w:type="dxa" w:w="2409"/>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Vantagens</w:t>
            </w:r>
          </w:p>
        </w:tc>
        <w:tc>
          <w:tcPr>
            <w:tcW w:type="dxa" w:w="2158"/>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Desvantagens</w:t>
            </w:r>
          </w:p>
        </w:tc>
      </w:tr>
      <w:tr>
        <w:trPr>
          <w:cantSplit/>
        </w:trPr>
        <w:tc>
          <w:tcPr>
            <w:tcW w:type="dxa" w:w="215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A. Aplicação web progressiva com backend gerenciado em PostgreSQL (recomendada)</w:t>
            </w:r>
          </w:p>
        </w:tc>
        <w:tc>
          <w:tcPr>
            <w:tcW w:type="dxa" w:w="291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Uma aplicação web única em React e TypeScript, instalável no tablet e no celular (PWA), funcionando offline; backend em PostgreSQL gerenciado (por exemplo, Supabase) com autenticação, RLS, armazenamento e funções no servidor; jogos como módulos isolados</w:t>
            </w:r>
          </w:p>
        </w:tc>
        <w:tc>
          <w:tcPr>
            <w:tcW w:type="dxa" w:w="240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Um só código para todos os perfis e aparelhos; RLS no banco, padrão já validado nas bases; região de hospedagem no Brasil disponível; equipe já familiarizada com a pilha; publicação imediata sem lojas</w:t>
            </w:r>
          </w:p>
        </w:tc>
        <w:tc>
          <w:tcPr>
            <w:tcW w:type="dxa" w:w="215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Recursos de quiosque e de acesso guiado dependem do sistema operacional; armazenamento offline do navegador exige cuidado com cifragem e cota</w:t>
            </w:r>
          </w:p>
        </w:tc>
      </w:tr>
      <w:tr>
        <w:trPr>
          <w:cantSplit/>
        </w:trPr>
        <w:tc>
          <w:tcPr>
            <w:tcW w:type="dxa" w:w="2155"/>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B. Framework web com servidor próprio</w:t>
            </w:r>
          </w:p>
        </w:tc>
        <w:tc>
          <w:tcPr>
            <w:tcW w:type="dxa" w:w="291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Aplicação com renderização no servidor e API própria, banco PostgreSQL administrado pela equipe, autenticação própria</w:t>
            </w:r>
          </w:p>
        </w:tc>
        <w:tc>
          <w:tcPr>
            <w:tcW w:type="dxa" w:w="240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Controle total; bom para a página pública</w:t>
            </w:r>
          </w:p>
        </w:tc>
        <w:tc>
          <w:tcPr>
            <w:tcW w:type="dxa" w:w="215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Mais código de segurança a escrever e manter; offline mais trabalhoso; mais custo de operação para equipe pequena</w:t>
            </w:r>
          </w:p>
        </w:tc>
      </w:tr>
      <w:tr>
        <w:trPr>
          <w:cantSplit/>
        </w:trPr>
        <w:tc>
          <w:tcPr>
            <w:tcW w:type="dxa" w:w="215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C. Aplicativo nativo multiplataforma</w:t>
            </w:r>
          </w:p>
        </w:tc>
        <w:tc>
          <w:tcPr>
            <w:tcW w:type="dxa" w:w="291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Aplicativo em React Native ou similar para tablet e celular, com backend separado</w:t>
            </w:r>
          </w:p>
        </w:tc>
        <w:tc>
          <w:tcPr>
            <w:tcW w:type="dxa" w:w="240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Melhor integração com quiosque, notificações e armazenamento seguro do aparelho</w:t>
            </w:r>
          </w:p>
        </w:tc>
        <w:tc>
          <w:tcPr>
            <w:tcW w:type="dxa" w:w="215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Duas bases (aplicativo e web para supervisão e família); ciclo de publicação nas lojas; jogos web exigem ponte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B5E63" w:sz="24"/>
              <w:bottom w:val="none" w:color="FFFFFF" w:sz="0"/>
              <w:right w:val="none" w:color="FFFFFF" w:sz="0"/>
            </w:tcBorders>
            <w:shd w:fill="E0F2F1" w:color="auto" w:val="clear"/>
            <w:tcMar>
              <w:top w:type="dxa" w:w="140"/>
              <w:left w:type="dxa" w:w="220"/>
              <w:bottom w:type="dxa" w:w="120"/>
              <w:right w:type="dxa" w:w="200"/>
            </w:tcMar>
          </w:tcPr>
          <w:p>
            <w:pPr>
              <w:spacing w:after="80"/>
            </w:pPr>
            <w:r>
              <w:rPr>
                <w:b/>
                <w:bCs/>
                <w:color w:val="1B5E63"/>
                <w:sz w:val="20"/>
                <w:szCs w:val="20"/>
              </w:rPr>
              <w:t xml:space="preserve">Recomendação</w:t>
            </w:r>
          </w:p>
          <w:p>
            <w:pPr>
              <w:spacing w:after="70" w:line="280"/>
            </w:pPr>
            <w:r>
              <w:rPr>
                <w:sz w:val="19"/>
                <w:szCs w:val="19"/>
              </w:rPr>
              <w:t xml:space="preserve">Abordagem A. Ela permite começar com uma única aplicação, reaproveitar o conhecimento das bases e manter a segurança no banco. Quando a operação exigir modo quiosque robusto ou distribuição pelas lojas, a mesma aplicação pode ser empacotada em um contêiner nativo leve (por exemplo, Capacitor), sem reescrita.</w:t>
            </w:r>
          </w:p>
        </w:tc>
      </w:tr>
    </w:tbl>
    <w:p>
      <w:pPr>
        <w:spacing w:after="120"/>
      </w:pPr>
    </w:p>
    <w:p>
      <w:pPr>
        <w:pStyle w:val="Heading2"/>
        <w:keepNext/>
      </w:pPr>
      <w:r>
        <w:t xml:space="preserve">12.2 Estrutura do código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67085" w:sz="12"/>
              <w:bottom w:val="none" w:color="FFFFFF" w:sz="0"/>
              <w:right w:val="none" w:color="FFFFFF" w:sz="0"/>
            </w:tcBorders>
            <w:shd w:fill="F2F4F7" w:color="auto" w:val="clear"/>
            <w:tcMar>
              <w:top w:type="dxa" w:w="100"/>
              <w:left w:type="dxa" w:w="160"/>
              <w:bottom w:type="dxa" w:w="100"/>
              <w:right w:type="dxa" w:w="120"/>
            </w:tcMar>
          </w:tcPr>
          <w:p>
            <w:pPr>
              <w:spacing w:after="0" w:line="240"/>
            </w:pPr>
            <w:r>
              <w:rPr>
                <w:rFonts w:ascii="Courier New" w:cs="Courier New" w:eastAsia="Courier New" w:hAnsi="Courier New"/>
                <w:color w:val="1D2939"/>
                <w:sz w:val="16"/>
                <w:szCs w:val="16"/>
              </w:rPr>
              <w:t xml:space="preserve">psicoplay/</w:t>
            </w:r>
          </w:p>
          <w:p>
            <w:pPr>
              <w:spacing w:after="0" w:line="240"/>
            </w:pPr>
            <w:r>
              <w:rPr>
                <w:rFonts w:ascii="Courier New" w:cs="Courier New" w:eastAsia="Courier New" w:hAnsi="Courier New"/>
                <w:color w:val="1D2939"/>
                <w:sz w:val="16"/>
                <w:szCs w:val="16"/>
              </w:rPr>
              <w:t xml:space="preserve">  apps/web/                 aplicação única: página pública, profissional, família, criança</w:t>
            </w:r>
          </w:p>
          <w:p>
            <w:pPr>
              <w:spacing w:after="0" w:line="240"/>
            </w:pPr>
            <w:r>
              <w:rPr>
                <w:rFonts w:ascii="Courier New" w:cs="Courier New" w:eastAsia="Courier New" w:hAnsi="Courier New"/>
                <w:color w:val="1D2939"/>
                <w:sz w:val="16"/>
                <w:szCs w:val="16"/>
              </w:rPr>
              <w:t xml:space="preserve">  packages/clinical-core/   regras clínicas puras em TypeScript (critérios, regras R1–R15,</w:t>
            </w:r>
          </w:p>
          <w:p>
            <w:pPr>
              <w:spacing w:after="0" w:line="240"/>
            </w:pPr>
            <w:r>
              <w:rPr>
                <w:rFonts w:ascii="Courier New" w:cs="Courier New" w:eastAsia="Courier New" w:hAnsi="Courier New"/>
                <w:color w:val="1D2939"/>
                <w:sz w:val="16"/>
                <w:szCs w:val="16"/>
              </w:rPr>
              <w:t xml:space="preserve">                            indicadores, CDC), sem dependência de interface, 100% testadas</w:t>
            </w:r>
          </w:p>
          <w:p>
            <w:pPr>
              <w:spacing w:after="0" w:line="240"/>
            </w:pPr>
            <w:r>
              <w:rPr>
                <w:rFonts w:ascii="Courier New" w:cs="Courier New" w:eastAsia="Courier New" w:hAnsi="Courier New"/>
                <w:color w:val="1D2939"/>
                <w:sz w:val="16"/>
                <w:szCs w:val="16"/>
              </w:rPr>
              <w:t xml:space="preserve">  packages/protocol/        tipos e esquemas do protocolo de eventos e do manifesto</w:t>
            </w:r>
          </w:p>
          <w:p>
            <w:pPr>
              <w:spacing w:after="0" w:line="240"/>
            </w:pPr>
            <w:r>
              <w:rPr>
                <w:rFonts w:ascii="Courier New" w:cs="Courier New" w:eastAsia="Courier New" w:hAnsi="Courier New"/>
                <w:color w:val="1D2939"/>
                <w:sz w:val="16"/>
                <w:szCs w:val="16"/>
              </w:rPr>
              <w:t xml:space="preserve">  packages/game-sdk/        SDK para jogos (configuração, eventos, adaptação, pausa)</w:t>
            </w:r>
          </w:p>
          <w:p>
            <w:pPr>
              <w:spacing w:after="0" w:line="240"/>
            </w:pPr>
            <w:r>
              <w:rPr>
                <w:rFonts w:ascii="Courier New" w:cs="Courier New" w:eastAsia="Courier New" w:hAnsi="Courier New"/>
                <w:color w:val="1D2939"/>
                <w:sz w:val="16"/>
                <w:szCs w:val="16"/>
              </w:rPr>
              <w:t xml:space="preserve">  packages/ui/              design system: tokens, componentes, gráficos acessíveis</w:t>
            </w:r>
          </w:p>
          <w:p>
            <w:pPr>
              <w:spacing w:after="0" w:line="240"/>
            </w:pPr>
            <w:r>
              <w:rPr>
                <w:rFonts w:ascii="Courier New" w:cs="Courier New" w:eastAsia="Courier New" w:hAnsi="Courier New"/>
                <w:color w:val="1D2939"/>
                <w:sz w:val="16"/>
                <w:szCs w:val="16"/>
              </w:rPr>
              <w:t xml:space="preserve">  packages/offline/         outbox cifrada, sincronização, cache</w:t>
            </w:r>
          </w:p>
          <w:p>
            <w:pPr>
              <w:spacing w:after="0" w:line="240"/>
            </w:pPr>
            <w:r>
              <w:rPr>
                <w:rFonts w:ascii="Courier New" w:cs="Courier New" w:eastAsia="Courier New" w:hAnsi="Courier New"/>
                <w:color w:val="1D2939"/>
                <w:sz w:val="16"/>
                <w:szCs w:val="16"/>
              </w:rPr>
              <w:t xml:space="preserve">  games/&lt;id&gt;/               cada jogo como módulo isolado, com manifesto e esquemas</w:t>
            </w:r>
          </w:p>
          <w:p>
            <w:pPr>
              <w:spacing w:after="0" w:line="240"/>
            </w:pPr>
            <w:r>
              <w:rPr>
                <w:rFonts w:ascii="Courier New" w:cs="Courier New" w:eastAsia="Courier New" w:hAnsi="Courier New"/>
                <w:color w:val="1D2939"/>
                <w:sz w:val="16"/>
                <w:szCs w:val="16"/>
              </w:rPr>
              <w:t xml:space="preserve">  db/migrations/            esquema, RLS, funções e gatilhos</w:t>
            </w:r>
          </w:p>
          <w:p>
            <w:pPr>
              <w:spacing w:after="0" w:line="240"/>
            </w:pPr>
            <w:r>
              <w:rPr>
                <w:rFonts w:ascii="Courier New" w:cs="Courier New" w:eastAsia="Courier New" w:hAnsi="Courier New"/>
                <w:color w:val="1D2939"/>
                <w:sz w:val="16"/>
                <w:szCs w:val="16"/>
              </w:rPr>
              <w:t xml:space="preserve">  db/tests/                 testes de RLS e de regras no banco</w:t>
            </w:r>
          </w:p>
          <w:p>
            <w:pPr>
              <w:spacing w:after="0" w:line="240"/>
            </w:pPr>
            <w:r>
              <w:rPr>
                <w:rFonts w:ascii="Courier New" w:cs="Courier New" w:eastAsia="Courier New" w:hAnsi="Courier New"/>
                <w:color w:val="1D2939"/>
                <w:sz w:val="16"/>
                <w:szCs w:val="16"/>
              </w:rPr>
              <w:t xml:space="preserve">  docs/                     especificação viva; catálogo e status gerados no CI</w:t>
            </w:r>
          </w:p>
        </w:tc>
      </w:tr>
    </w:tbl>
    <w:p>
      <w:pPr>
        <w:spacing w:after="120"/>
      </w:pPr>
    </w:p>
    <w:p>
      <w:pPr>
        <w:spacing w:after="140" w:before="0" w:line="300"/>
        <w:jc w:val="left"/>
      </w:pPr>
      <w:r>
        <w:t xml:space="preserve">A separação de </w:t>
      </w:r>
      <w:r>
        <w:rPr>
          <w:rFonts w:ascii="Courier New" w:cs="Courier New" w:eastAsia="Courier New" w:hAnsi="Courier New"/>
          <w:sz w:val="19"/>
          <w:szCs w:val="19"/>
        </w:rPr>
        <w:t xml:space="preserve">clinical-core</w:t>
      </w:r>
      <w:r>
        <w:t xml:space="preserve"> é deliberada. As regras de domínio, os indicadores e o método CDC são o conhecimento mais valioso da plataforma e o mais sensível a erro. Mantê-los em código puro, sem interface nem banco, permite testá-los com conjuntos de dados de referência verificados à mão pela supervisão clínica, e executá-los igualmente no aparelho (para retorno imediato na sessão) e no servidor (para os alertas oficiais).</w:t>
      </w:r>
    </w:p>
    <w:p>
      <w:pPr>
        <w:pStyle w:val="Heading2"/>
        <w:keepNext/>
      </w:pPr>
      <w:r>
        <w:t xml:space="preserve">12.3 Aplicação e jogos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7609"/>
      </w:tblGrid>
      <w:tr>
        <w:trPr>
          <w:tblHeader/>
        </w:trPr>
        <w:tc>
          <w:tcPr>
            <w:tcW w:type="dxa" w:w="2029"/>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Tema</w:t>
            </w:r>
          </w:p>
        </w:tc>
        <w:tc>
          <w:tcPr>
            <w:tcW w:type="dxa" w:w="7609"/>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Especificação</w:t>
            </w:r>
          </w:p>
        </w:tc>
      </w:tr>
      <w:tr>
        <w:trPr>
          <w:cantSplit/>
        </w:trPr>
        <w:tc>
          <w:tcPr>
            <w:tcW w:type="dxa" w:w="202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Roteamento</w:t>
            </w:r>
          </w:p>
        </w:tc>
        <w:tc>
          <w:tcPr>
            <w:tcW w:type="dxa" w:w="760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Rotas por perfil com carregamento sob demanda; a área infantil não carrega código da área profissional, e vice-versa</w:t>
            </w:r>
          </w:p>
        </w:tc>
      </w:tr>
      <w:tr>
        <w:trPr>
          <w:cantSplit/>
        </w:trPr>
        <w:tc>
          <w:tcPr>
            <w:tcW w:type="dxa" w:w="202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Jogos</w:t>
            </w:r>
          </w:p>
        </w:tc>
        <w:tc>
          <w:tcPr>
            <w:tcW w:type="dxa" w:w="760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Cada jogo roda em </w:t>
            </w:r>
            <w:r>
              <w:rPr>
                <w:rFonts w:ascii="Courier New" w:cs="Courier New" w:eastAsia="Courier New" w:hAnsi="Courier New"/>
                <w:sz w:val="18"/>
                <w:szCs w:val="18"/>
              </w:rPr>
              <w:t xml:space="preserve">iframe</w:t>
            </w:r>
            <w:r>
              <w:rPr>
                <w:sz w:val="18"/>
                <w:szCs w:val="18"/>
              </w:rPr>
              <w:t xml:space="preserve"> com </w:t>
            </w:r>
            <w:r>
              <w:rPr>
                <w:rFonts w:ascii="Courier New" w:cs="Courier New" w:eastAsia="Courier New" w:hAnsi="Courier New"/>
                <w:sz w:val="18"/>
                <w:szCs w:val="18"/>
              </w:rPr>
              <w:t xml:space="preserve">sandbox</w:t>
            </w:r>
            <w:r>
              <w:rPr>
                <w:sz w:val="18"/>
                <w:szCs w:val="18"/>
              </w:rPr>
              <w:t xml:space="preserve"> restritivo, servido da mesma origem em caminho próprio, comunicando-se só pelo SDK; carregado sob demanda</w:t>
            </w:r>
          </w:p>
        </w:tc>
      </w:tr>
      <w:tr>
        <w:trPr>
          <w:cantSplit/>
        </w:trPr>
        <w:tc>
          <w:tcPr>
            <w:tcW w:type="dxa" w:w="202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Interatividade</w:t>
            </w:r>
          </w:p>
        </w:tc>
        <w:tc>
          <w:tcPr>
            <w:tcW w:type="dxa" w:w="760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Tarefas acima de 50 ms divididas, cedendo a vez à interface; cálculos pesados (projeções locais, gráficos longos) em Web Worker; meta de INP abaixo de 200 ms na tela de aplicação</w:t>
            </w:r>
          </w:p>
        </w:tc>
      </w:tr>
      <w:tr>
        <w:trPr>
          <w:cantSplit/>
        </w:trPr>
        <w:tc>
          <w:tcPr>
            <w:tcW w:type="dxa" w:w="202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Gráficos</w:t>
            </w:r>
          </w:p>
        </w:tc>
        <w:tc>
          <w:tcPr>
            <w:tcW w:type="dxa" w:w="760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SVG com tabela alternativa acessível; renderização adiada de seções fora da tela em painéis longos</w:t>
            </w:r>
          </w:p>
        </w:tc>
      </w:tr>
      <w:tr>
        <w:trPr>
          <w:cantSplit/>
        </w:trPr>
        <w:tc>
          <w:tcPr>
            <w:tcW w:type="dxa" w:w="202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Diálogos e anúncios</w:t>
            </w:r>
          </w:p>
        </w:tc>
        <w:tc>
          <w:tcPr>
            <w:tcW w:type="dxa" w:w="760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Elemento </w:t>
            </w:r>
            <w:r>
              <w:rPr>
                <w:rFonts w:ascii="Courier New" w:cs="Courier New" w:eastAsia="Courier New" w:hAnsi="Courier New"/>
                <w:sz w:val="18"/>
                <w:szCs w:val="18"/>
              </w:rPr>
              <w:t xml:space="preserve">dialog</w:t>
            </w:r>
            <w:r>
              <w:rPr>
                <w:sz w:val="18"/>
                <w:szCs w:val="18"/>
              </w:rPr>
              <w:t xml:space="preserve"> nativo; regiões de anúncio centralizadas</w:t>
            </w:r>
          </w:p>
        </w:tc>
      </w:tr>
    </w:tbl>
    <w:p>
      <w:pPr>
        <w:spacing w:after="120"/>
      </w:pPr>
    </w:p>
    <w:p>
      <w:pPr>
        <w:pStyle w:val="Heading2"/>
        <w:keepNext/>
      </w:pPr>
      <w:r>
        <w:t xml:space="preserve">12.4 Funcionamento offline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7609"/>
      </w:tblGrid>
      <w:tr>
        <w:trPr>
          <w:tblHeader/>
        </w:trPr>
        <w:tc>
          <w:tcPr>
            <w:tcW w:type="dxa" w:w="2029"/>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Componente</w:t>
            </w:r>
          </w:p>
        </w:tc>
        <w:tc>
          <w:tcPr>
            <w:tcW w:type="dxa" w:w="7609"/>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Especificação</w:t>
            </w:r>
          </w:p>
        </w:tc>
      </w:tr>
      <w:tr>
        <w:trPr>
          <w:cantSplit/>
        </w:trPr>
        <w:tc>
          <w:tcPr>
            <w:tcW w:type="dxa" w:w="202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Outbox</w:t>
            </w:r>
          </w:p>
        </w:tc>
        <w:tc>
          <w:tcPr>
            <w:tcW w:type="dxa" w:w="760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Fila única em IndexedDB, cifrada com chave derivada da sessão do profissional (Web Crypto). Todo registro clínico passa por ela e só sai após confirmação do servidor por identificador</w:t>
            </w:r>
          </w:p>
        </w:tc>
      </w:tr>
      <w:tr>
        <w:trPr>
          <w:cantSplit/>
        </w:trPr>
        <w:tc>
          <w:tcPr>
            <w:tcW w:type="dxa" w:w="202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Sincronização</w:t>
            </w:r>
          </w:p>
        </w:tc>
        <w:tc>
          <w:tcPr>
            <w:tcW w:type="dxa" w:w="760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Ao recuperar conexão, ao abrir a aplicação e periodicamente durante a sessão; lotes com repetição exponencial; indicador visível de pendências</w:t>
            </w:r>
          </w:p>
        </w:tc>
      </w:tr>
      <w:tr>
        <w:trPr>
          <w:cantSplit/>
        </w:trPr>
        <w:tc>
          <w:tcPr>
            <w:tcW w:type="dxa" w:w="202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Cache da aplicação</w:t>
            </w:r>
          </w:p>
        </w:tc>
        <w:tc>
          <w:tcPr>
            <w:tcW w:type="dxa" w:w="760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Service worker: arquivos versionados com estratégia cache primeiro; documento HTML com rede primeiro; dados não sensíveis de referência com revalidação em segundo plano; limites de tamanho e de validade</w:t>
            </w:r>
          </w:p>
        </w:tc>
      </w:tr>
      <w:tr>
        <w:trPr>
          <w:cantSplit/>
        </w:trPr>
        <w:tc>
          <w:tcPr>
            <w:tcW w:type="dxa" w:w="202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Dados do caso no aparelho</w:t>
            </w:r>
          </w:p>
        </w:tc>
        <w:tc>
          <w:tcPr>
            <w:tcW w:type="dxa" w:w="760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Somente o necessário para as sessões do dia (plano, alvos, estímulos), cifrado, apagado ao sair ou após o prazo configurado</w:t>
            </w:r>
          </w:p>
        </w:tc>
      </w:tr>
      <w:tr>
        <w:trPr>
          <w:cantSplit/>
        </w:trPr>
        <w:tc>
          <w:tcPr>
            <w:tcW w:type="dxa" w:w="202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Telemetria técnica</w:t>
            </w:r>
          </w:p>
        </w:tc>
        <w:tc>
          <w:tcPr>
            <w:tcW w:type="dxa" w:w="760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Separada dos dados clínicos e sem dados pessoais; pode usar </w:t>
            </w:r>
            <w:r>
              <w:rPr>
                <w:rFonts w:ascii="Courier New" w:cs="Courier New" w:eastAsia="Courier New" w:hAnsi="Courier New"/>
                <w:sz w:val="18"/>
                <w:szCs w:val="18"/>
              </w:rPr>
              <w:t xml:space="preserve">fetchLater()</w:t>
            </w:r>
            <w:r>
              <w:rPr>
                <w:sz w:val="18"/>
                <w:szCs w:val="18"/>
              </w:rPr>
              <w:t xml:space="preserve"> com alternativa para navegadores sem suporte. Dados clínicos nunca usam esse caminho, porque exigem confirmação de recebimento</w:t>
            </w:r>
          </w:p>
        </w:tc>
      </w:tr>
      <w:tr>
        <w:trPr>
          <w:cantSplit/>
        </w:trPr>
        <w:tc>
          <w:tcPr>
            <w:tcW w:type="dxa" w:w="202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Conflitos</w:t>
            </w:r>
          </w:p>
        </w:tc>
        <w:tc>
          <w:tcPr>
            <w:tcW w:type="dxa" w:w="760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Registros clínicos são apenas acrescentados, então não há conflito de edição; alterações de plano feitas offline são bloqueadas (o plano é editado apenas com conexão)</w:t>
            </w:r>
          </w:p>
        </w:tc>
      </w:tr>
    </w:tbl>
    <w:p>
      <w:pPr>
        <w:spacing w:after="120"/>
      </w:pPr>
    </w:p>
    <w:p>
      <w:pPr>
        <w:pStyle w:val="Heading2"/>
        <w:keepNext/>
      </w:pPr>
      <w:r>
        <w:t xml:space="preserve">12.5 Segurança e privacidade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7609"/>
      </w:tblGrid>
      <w:tr>
        <w:trPr>
          <w:tblHeader/>
        </w:trPr>
        <w:tc>
          <w:tcPr>
            <w:tcW w:type="dxa" w:w="2029"/>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Controle</w:t>
            </w:r>
          </w:p>
        </w:tc>
        <w:tc>
          <w:tcPr>
            <w:tcW w:type="dxa" w:w="7609"/>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Especificação</w:t>
            </w:r>
          </w:p>
        </w:tc>
      </w:tr>
      <w:tr>
        <w:trPr>
          <w:cantSplit/>
        </w:trPr>
        <w:tc>
          <w:tcPr>
            <w:tcW w:type="dxa" w:w="202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Hospedagem</w:t>
            </w:r>
          </w:p>
        </w:tc>
        <w:tc>
          <w:tcPr>
            <w:tcW w:type="dxa" w:w="760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Banco, arquivos e funções em região no Brasil; contrato com o fornecedor contemplando tratamento de dados, subprocessadores e incidentes</w:t>
            </w:r>
          </w:p>
        </w:tc>
      </w:tr>
      <w:tr>
        <w:trPr>
          <w:cantSplit/>
        </w:trPr>
        <w:tc>
          <w:tcPr>
            <w:tcW w:type="dxa" w:w="202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Isolamento</w:t>
            </w:r>
          </w:p>
        </w:tc>
        <w:tc>
          <w:tcPr>
            <w:tcW w:type="dxa" w:w="760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RLS em todas as tabelas com dados de caso, baseado em vínculo por caso; testes automatizados de isolamento entre organizações e entre casos a cada alteração</w:t>
            </w:r>
          </w:p>
        </w:tc>
      </w:tr>
      <w:tr>
        <w:trPr>
          <w:cantSplit/>
        </w:trPr>
        <w:tc>
          <w:tcPr>
            <w:tcW w:type="dxa" w:w="202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Cifragem</w:t>
            </w:r>
          </w:p>
        </w:tc>
        <w:tc>
          <w:tcPr>
            <w:tcW w:type="dxa" w:w="760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Em trânsito (TLS) e em repouso; cifragem adicional de colunas sensíveis (notas clínicas, anamnese, dados de segurança) com chaves gerenciadas fora do banco</w:t>
            </w:r>
          </w:p>
        </w:tc>
      </w:tr>
      <w:tr>
        <w:trPr>
          <w:cantSplit/>
        </w:trPr>
        <w:tc>
          <w:tcPr>
            <w:tcW w:type="dxa" w:w="202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Autenticação</w:t>
            </w:r>
          </w:p>
        </w:tc>
        <w:tc>
          <w:tcPr>
            <w:tcW w:type="dxa" w:w="760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Segundo fator obrigatório para acesso a prontuário; chaves de acesso preferenciais; sessões curtas em aparelhos compartilhados</w:t>
            </w:r>
          </w:p>
        </w:tc>
      </w:tr>
      <w:tr>
        <w:trPr>
          <w:cantSplit/>
        </w:trPr>
        <w:tc>
          <w:tcPr>
            <w:tcW w:type="dxa" w:w="202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Auditoria</w:t>
            </w:r>
          </w:p>
        </w:tc>
        <w:tc>
          <w:tcPr>
            <w:tcW w:type="dxa" w:w="760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Registro imutável de leitura e escrita de dados clínicos, com consulta pelo responsável técnico e relatório ao titular quando solicitado</w:t>
            </w:r>
          </w:p>
        </w:tc>
      </w:tr>
      <w:tr>
        <w:trPr>
          <w:cantSplit/>
        </w:trPr>
        <w:tc>
          <w:tcPr>
            <w:tcW w:type="dxa" w:w="202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Cópias de segurança</w:t>
            </w:r>
          </w:p>
        </w:tc>
        <w:tc>
          <w:tcPr>
            <w:tcW w:type="dxa" w:w="760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Recuperação para qualquer ponto no tempo; teste de restauração trimestral; meta de perda máxima de 15 minutos e retorno em até 4 horas</w:t>
            </w:r>
          </w:p>
        </w:tc>
      </w:tr>
      <w:tr>
        <w:trPr>
          <w:cantSplit/>
        </w:trPr>
        <w:tc>
          <w:tcPr>
            <w:tcW w:type="dxa" w:w="202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Incidentes</w:t>
            </w:r>
          </w:p>
        </w:tc>
        <w:tc>
          <w:tcPr>
            <w:tcW w:type="dxa" w:w="760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Plano de resposta com prazos de comunicação à ANPD e aos titulares conforme a regulamentação vigente</w:t>
            </w:r>
          </w:p>
        </w:tc>
      </w:tr>
      <w:tr>
        <w:trPr>
          <w:cantSplit/>
        </w:trPr>
        <w:tc>
          <w:tcPr>
            <w:tcW w:type="dxa" w:w="202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Relatório de impacto</w:t>
            </w:r>
          </w:p>
        </w:tc>
        <w:tc>
          <w:tcPr>
            <w:tcW w:type="dxa" w:w="760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Relatório de impacto à proteção de dados elaborado antes do piloto e revisado a cada novo módulo</w:t>
            </w:r>
          </w:p>
        </w:tc>
      </w:tr>
      <w:tr>
        <w:trPr>
          <w:cantSplit/>
        </w:trPr>
        <w:tc>
          <w:tcPr>
            <w:tcW w:type="dxa" w:w="202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Testes de segurança</w:t>
            </w:r>
          </w:p>
        </w:tc>
        <w:tc>
          <w:tcPr>
            <w:tcW w:type="dxa" w:w="760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Revisão de código com foco em segurança, análise de dependências no CI e teste de intrusão independente antes do lançamento</w:t>
            </w:r>
          </w:p>
        </w:tc>
      </w:tr>
    </w:tbl>
    <w:p>
      <w:pPr>
        <w:spacing w:after="120"/>
      </w:pPr>
    </w:p>
    <w:p>
      <w:pPr>
        <w:pStyle w:val="Heading2"/>
        <w:keepNext/>
      </w:pPr>
      <w:r>
        <w:t xml:space="preserve">12.6 Qualidade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7609"/>
      </w:tblGrid>
      <w:tr>
        <w:trPr>
          <w:tblHeader/>
        </w:trPr>
        <w:tc>
          <w:tcPr>
            <w:tcW w:type="dxa" w:w="2029"/>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Camada</w:t>
            </w:r>
          </w:p>
        </w:tc>
        <w:tc>
          <w:tcPr>
            <w:tcW w:type="dxa" w:w="7609"/>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Testes</w:t>
            </w:r>
          </w:p>
        </w:tc>
      </w:tr>
      <w:tr>
        <w:trPr>
          <w:cantSplit/>
        </w:trPr>
        <w:tc>
          <w:tcPr>
            <w:tcW w:type="dxa" w:w="202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Regras clínicas</w:t>
            </w:r>
          </w:p>
        </w:tc>
        <w:tc>
          <w:tcPr>
            <w:tcW w:type="dxa" w:w="760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Testes unitários com conjuntos de referência construídos e verificados pela supervisão (por exemplo, sequências de sessões que devem e que não devem disparar R1, R2 e R3)</w:t>
            </w:r>
          </w:p>
        </w:tc>
      </w:tr>
      <w:tr>
        <w:trPr>
          <w:cantSplit/>
        </w:trPr>
        <w:tc>
          <w:tcPr>
            <w:tcW w:type="dxa" w:w="202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Banco</w:t>
            </w:r>
          </w:p>
        </w:tc>
        <w:tc>
          <w:tcPr>
            <w:tcW w:type="dxa" w:w="760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Testes de RLS, das restrições de modelo único, das funções de mudança de fase e da imutabilidade</w:t>
            </w:r>
          </w:p>
        </w:tc>
      </w:tr>
      <w:tr>
        <w:trPr>
          <w:cantSplit/>
        </w:trPr>
        <w:tc>
          <w:tcPr>
            <w:tcW w:type="dxa" w:w="202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Jogos</w:t>
            </w:r>
          </w:p>
        </w:tc>
        <w:tc>
          <w:tcPr>
            <w:tcW w:type="dxa" w:w="760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Testes de contrato: eventos emitidos validados contra os esquemas publicados</w:t>
            </w:r>
          </w:p>
        </w:tc>
      </w:tr>
      <w:tr>
        <w:trPr>
          <w:cantSplit/>
        </w:trPr>
        <w:tc>
          <w:tcPr>
            <w:tcW w:type="dxa" w:w="202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Fluxos</w:t>
            </w:r>
          </w:p>
        </w:tc>
        <w:tc>
          <w:tcPr>
            <w:tcW w:type="dxa" w:w="760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Testes de ponta a ponta das jornadas críticas: abrir caso, criar plano, aplicar sessão offline, sincronizar, ver gráfico, aceitar alerta</w:t>
            </w:r>
          </w:p>
        </w:tc>
      </w:tr>
      <w:tr>
        <w:trPr>
          <w:cantSplit/>
        </w:trPr>
        <w:tc>
          <w:tcPr>
            <w:tcW w:type="dxa" w:w="202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Acessibilidade</w:t>
            </w:r>
          </w:p>
        </w:tc>
        <w:tc>
          <w:tcPr>
            <w:tcW w:type="dxa" w:w="760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Verificação automática no CI e revisão manual com leitor de tela e teclado nas telas principais</w:t>
            </w:r>
          </w:p>
        </w:tc>
      </w:tr>
      <w:tr>
        <w:trPr>
          <w:cantSplit/>
        </w:trPr>
        <w:tc>
          <w:tcPr>
            <w:tcW w:type="dxa" w:w="202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Clínica</w:t>
            </w:r>
          </w:p>
        </w:tc>
        <w:tc>
          <w:tcPr>
            <w:tcW w:type="dxa" w:w="760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Piloto com supervisão; concordância entre o que a plataforma calcula e o que o supervisor calcularia à mão</w:t>
            </w:r>
          </w:p>
        </w:tc>
      </w:tr>
    </w:tbl>
    <w:p>
      <w:pPr>
        <w:spacing w:after="120"/>
      </w:pPr>
    </w:p>
    <w:p>
      <w:pPr>
        <w:pStyle w:val="Heading1"/>
        <w:pageBreakBefore/>
      </w:pPr>
      <w:r>
        <w:t xml:space="preserve">13. Roteiro de construção</w:t>
      </w:r>
    </w:p>
    <w:p>
      <w:pPr>
        <w:spacing w:after="140" w:before="0" w:line="300"/>
        <w:jc w:val="left"/>
      </w:pPr>
      <w:r>
        <w:t xml:space="preserve">A plataforma é grande demais para uma única especificação de implementação. Ela é dividida em dez subprojetos, cada um com seu próprio ciclo de especificação detalhada, plano e construção. A ordem segue as dependências: nada clínico é construído antes da fundação de segurança, e nenhum jogo é construído antes de existir o alvo ao qual ele se liga. O tamanho é relativo (P, M, G) e deve ser estimado pela equipe na especificação detalhada de cada subprojeto.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3297"/>
        <w:gridCol w:w="1141"/>
        <w:gridCol w:w="887"/>
        <w:gridCol w:w="2284"/>
      </w:tblGrid>
      <w:tr>
        <w:trPr>
          <w:tblHeader/>
        </w:trPr>
        <w:tc>
          <w:tcPr>
            <w:tcW w:type="dxa" w:w="2029"/>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Subprojeto</w:t>
            </w:r>
          </w:p>
        </w:tc>
        <w:tc>
          <w:tcPr>
            <w:tcW w:type="dxa" w:w="3297"/>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Entregas</w:t>
            </w:r>
          </w:p>
        </w:tc>
        <w:tc>
          <w:tcPr>
            <w:tcW w:type="dxa" w:w="1141"/>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Depende de</w:t>
            </w:r>
          </w:p>
        </w:tc>
        <w:tc>
          <w:tcPr>
            <w:tcW w:type="dxa" w:w="887"/>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Tamanho</w:t>
            </w:r>
          </w:p>
        </w:tc>
        <w:tc>
          <w:tcPr>
            <w:tcW w:type="dxa" w:w="2284"/>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Critério de aceite</w:t>
            </w:r>
          </w:p>
        </w:tc>
      </w:tr>
      <w:tr>
        <w:trPr>
          <w:cantSplit/>
        </w:trPr>
        <w:tc>
          <w:tcPr>
            <w:tcW w:type="dxa" w:w="202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S0. Fundação e conformidade</w:t>
            </w:r>
          </w:p>
        </w:tc>
        <w:tc>
          <w:tcPr>
            <w:tcW w:type="dxa" w:w="329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Repositório e CI, design system base, página inicial, telas de acesso, organizações, vínculos, consentimentos, auditoria, relatório de impacto</w:t>
            </w:r>
          </w:p>
        </w:tc>
        <w:tc>
          <w:tcPr>
            <w:tcW w:type="dxa" w:w="114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w:t>
            </w:r>
          </w:p>
        </w:tc>
        <w:tc>
          <w:tcPr>
            <w:tcW w:type="dxa" w:w="88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M</w:t>
            </w:r>
          </w:p>
        </w:tc>
        <w:tc>
          <w:tcPr>
            <w:tcW w:type="dxa" w:w="228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Testes de isolamento passando; página inicial e acesso aprovados em revisão de acessibilidade</w:t>
            </w:r>
          </w:p>
        </w:tc>
      </w:tr>
      <w:tr>
        <w:trPr>
          <w:cantSplit/>
        </w:trPr>
        <w:tc>
          <w:tcPr>
            <w:tcW w:type="dxa" w:w="202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S1. Núcleo clínico</w:t>
            </w:r>
          </w:p>
        </w:tc>
        <w:tc>
          <w:tcPr>
            <w:tcW w:type="dxa" w:w="329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Caso, prontuário, plano ABA e Denver, alvos, passos, bibliotecas, restrições de modelo único, mudança de fase com trilha</w:t>
            </w:r>
          </w:p>
        </w:tc>
        <w:tc>
          <w:tcPr>
            <w:tcW w:type="dxa" w:w="1141"/>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S0</w:t>
            </w:r>
          </w:p>
        </w:tc>
        <w:tc>
          <w:tcPr>
            <w:tcW w:type="dxa" w:w="88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G</w:t>
            </w:r>
          </w:p>
        </w:tc>
        <w:tc>
          <w:tcPr>
            <w:tcW w:type="dxa" w:w="2284"/>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Supervisor monta um plano ABA e um Denver completos; o banco rejeita registros incompatíveis com o modelo</w:t>
            </w:r>
          </w:p>
        </w:tc>
      </w:tr>
      <w:tr>
        <w:trPr>
          <w:cantSplit/>
        </w:trPr>
        <w:tc>
          <w:tcPr>
            <w:tcW w:type="dxa" w:w="202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S2. Aplicação de sessão</w:t>
            </w:r>
          </w:p>
        </w:tc>
        <w:tc>
          <w:tcPr>
            <w:tcW w:type="dxa" w:w="329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Construção de sessão, telas de aplicação ABA e Denver, comportamento, outbox offline, encerramento com nota</w:t>
            </w:r>
          </w:p>
        </w:tc>
        <w:tc>
          <w:tcPr>
            <w:tcW w:type="dxa" w:w="114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S1</w:t>
            </w:r>
          </w:p>
        </w:tc>
        <w:tc>
          <w:tcPr>
            <w:tcW w:type="dxa" w:w="88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G</w:t>
            </w:r>
          </w:p>
        </w:tc>
        <w:tc>
          <w:tcPr>
            <w:tcW w:type="dxa" w:w="228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Sessão inteira aplicada em modo avião e sincronizada sem perda; aplicador registra uma tentativa com até dois toques</w:t>
            </w:r>
          </w:p>
        </w:tc>
      </w:tr>
      <w:tr>
        <w:trPr>
          <w:cantSplit/>
        </w:trPr>
        <w:tc>
          <w:tcPr>
            <w:tcW w:type="dxa" w:w="202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S3. Análise e decisão</w:t>
            </w:r>
          </w:p>
        </w:tc>
        <w:tc>
          <w:tcPr>
            <w:tcW w:type="dxa" w:w="329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Projeções, gráficos de alvo e de comportamento, CDC, regras R1 a R15, painel do supervisor</w:t>
            </w:r>
          </w:p>
        </w:tc>
        <w:tc>
          <w:tcPr>
            <w:tcW w:type="dxa" w:w="1141"/>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S2</w:t>
            </w:r>
          </w:p>
        </w:tc>
        <w:tc>
          <w:tcPr>
            <w:tcW w:type="dxa" w:w="88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M</w:t>
            </w:r>
          </w:p>
        </w:tc>
        <w:tc>
          <w:tcPr>
            <w:tcW w:type="dxa" w:w="2284"/>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Resultados idênticos aos conjuntos de referência; alertas chegam ao painel após a sincronização</w:t>
            </w:r>
          </w:p>
        </w:tc>
      </w:tr>
      <w:tr>
        <w:trPr>
          <w:cantSplit/>
        </w:trPr>
        <w:tc>
          <w:tcPr>
            <w:tcW w:type="dxa" w:w="202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Marco: piloto clínico</w:t>
            </w:r>
          </w:p>
        </w:tc>
        <w:tc>
          <w:tcPr>
            <w:tcW w:type="dxa" w:w="329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S0 a S3 em uso com casos selecionados, com consentimento e supervisão próxima</w:t>
            </w:r>
          </w:p>
        </w:tc>
        <w:tc>
          <w:tcPr>
            <w:tcW w:type="dxa" w:w="114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w:t>
            </w:r>
          </w:p>
        </w:tc>
        <w:tc>
          <w:tcPr>
            <w:tcW w:type="dxa" w:w="88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w:t>
            </w:r>
          </w:p>
        </w:tc>
        <w:tc>
          <w:tcPr>
            <w:tcW w:type="dxa" w:w="228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Equipe abandona a folha de papel nos casos do piloto</w:t>
            </w:r>
          </w:p>
        </w:tc>
      </w:tr>
      <w:tr>
        <w:trPr>
          <w:cantSplit/>
        </w:trPr>
        <w:tc>
          <w:tcPr>
            <w:tcW w:type="dxa" w:w="202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S4. Reforçadores e portal infantil</w:t>
            </w:r>
          </w:p>
        </w:tc>
        <w:tc>
          <w:tcPr>
            <w:tcW w:type="dxa" w:w="329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Inventário, avaliação de preferência, fichas, tela como reforçador, portal por faixa etária, medidor de tela, SDK e protocolo de jogos</w:t>
            </w:r>
          </w:p>
        </w:tc>
        <w:tc>
          <w:tcPr>
            <w:tcW w:type="dxa" w:w="1141"/>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S2</w:t>
            </w:r>
          </w:p>
        </w:tc>
        <w:tc>
          <w:tcPr>
            <w:tcW w:type="dxa" w:w="88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M</w:t>
            </w:r>
          </w:p>
        </w:tc>
        <w:tc>
          <w:tcPr>
            <w:tcW w:type="dxa" w:w="2284"/>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MSWO bloqueado sem pré-requisito; limite de tela aplicado por idade</w:t>
            </w:r>
          </w:p>
        </w:tc>
      </w:tr>
      <w:tr>
        <w:trPr>
          <w:cantSplit/>
        </w:trPr>
        <w:tc>
          <w:tcPr>
            <w:tcW w:type="dxa" w:w="202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S5. Primeiros jogos</w:t>
            </w:r>
          </w:p>
        </w:tc>
        <w:tc>
          <w:tcPr>
            <w:tcW w:type="dxa" w:w="329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Reconstrução de seis conceitos de maior cobertura: Encontre o Igual, Escolha pela Instrução, Organize por Categoria, Minha Vez Sua Vez, Pequeno Chef, Me Mostra</w:t>
            </w:r>
          </w:p>
        </w:tc>
        <w:tc>
          <w:tcPr>
            <w:tcW w:type="dxa" w:w="114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S4</w:t>
            </w:r>
          </w:p>
        </w:tc>
        <w:tc>
          <w:tcPr>
            <w:tcW w:type="dxa" w:w="88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M</w:t>
            </w:r>
          </w:p>
        </w:tc>
        <w:tc>
          <w:tcPr>
            <w:tcW w:type="dxa" w:w="228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Jogos passam pelas sete etapas de publicação (9.8)</w:t>
            </w:r>
          </w:p>
        </w:tc>
      </w:tr>
      <w:tr>
        <w:trPr>
          <w:cantSplit/>
        </w:trPr>
        <w:tc>
          <w:tcPr>
            <w:tcW w:type="dxa" w:w="202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S6. Família e documentos</w:t>
            </w:r>
          </w:p>
        </w:tc>
        <w:tc>
          <w:tcPr>
            <w:tcW w:type="dxa" w:w="329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Portal da família, tarefas de casa, orientação, validação social, relatórios e documentos</w:t>
            </w:r>
          </w:p>
        </w:tc>
        <w:tc>
          <w:tcPr>
            <w:tcW w:type="dxa" w:w="1141"/>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S3</w:t>
            </w:r>
          </w:p>
        </w:tc>
        <w:tc>
          <w:tcPr>
            <w:tcW w:type="dxa" w:w="88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M</w:t>
            </w:r>
          </w:p>
        </w:tc>
        <w:tc>
          <w:tcPr>
            <w:tcW w:type="dxa" w:w="2284"/>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Família acompanha e registra sem acesso a notas internas; documento finalizado imutável</w:t>
            </w:r>
          </w:p>
        </w:tc>
      </w:tr>
      <w:tr>
        <w:trPr>
          <w:cantSplit/>
        </w:trPr>
        <w:tc>
          <w:tcPr>
            <w:tcW w:type="dxa" w:w="202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S7. Supervisão e fidelidade</w:t>
            </w:r>
          </w:p>
        </w:tc>
        <w:tc>
          <w:tcPr>
            <w:tcW w:type="dxa" w:w="329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Checklists derivados, observação, concordância, competências, horas de supervisão</w:t>
            </w:r>
          </w:p>
        </w:tc>
        <w:tc>
          <w:tcPr>
            <w:tcW w:type="dxa" w:w="114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S2</w:t>
            </w:r>
          </w:p>
        </w:tc>
        <w:tc>
          <w:tcPr>
            <w:tcW w:type="dxa" w:w="88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M</w:t>
            </w:r>
          </w:p>
        </w:tc>
        <w:tc>
          <w:tcPr>
            <w:tcW w:type="dxa" w:w="228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Checklist gerado automaticamente a partir do programa</w:t>
            </w:r>
          </w:p>
        </w:tc>
      </w:tr>
      <w:tr>
        <w:trPr>
          <w:cantSplit/>
        </w:trPr>
        <w:tc>
          <w:tcPr>
            <w:tcW w:type="dxa" w:w="2029"/>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S8. Catálogo ampliado e comunicação</w:t>
            </w:r>
          </w:p>
        </w:tc>
        <w:tc>
          <w:tcPr>
            <w:tcW w:type="dxa" w:w="329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Demais conceitos de jogo, novos recursos (9.4), prancha de comunicação com formato aberto, materiais imprimíveis</w:t>
            </w:r>
          </w:p>
        </w:tc>
        <w:tc>
          <w:tcPr>
            <w:tcW w:type="dxa" w:w="1141"/>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S5</w:t>
            </w:r>
          </w:p>
        </w:tc>
        <w:tc>
          <w:tcPr>
            <w:tcW w:type="dxa" w:w="887"/>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G</w:t>
            </w:r>
          </w:p>
        </w:tc>
        <w:tc>
          <w:tcPr>
            <w:tcW w:type="dxa" w:w="2284"/>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Cada recurso com manifesto completo e revisão clínica</w:t>
            </w:r>
          </w:p>
        </w:tc>
      </w:tr>
      <w:tr>
        <w:trPr>
          <w:cantSplit/>
        </w:trPr>
        <w:tc>
          <w:tcPr>
            <w:tcW w:type="dxa" w:w="2029"/>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S9. Adolescentes e IA assistiva</w:t>
            </w:r>
          </w:p>
        </w:tc>
        <w:tc>
          <w:tcPr>
            <w:tcW w:type="dxa" w:w="329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Meu Dia, Dinheiro e Troco, Conversa em Turnos; rascunhos de relatório assistidos, com revisão humana</w:t>
            </w:r>
          </w:p>
        </w:tc>
        <w:tc>
          <w:tcPr>
            <w:tcW w:type="dxa" w:w="114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S6, S8</w:t>
            </w:r>
          </w:p>
        </w:tc>
        <w:tc>
          <w:tcPr>
            <w:tcW w:type="dxa" w:w="887"/>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M</w:t>
            </w:r>
          </w:p>
        </w:tc>
        <w:tc>
          <w:tcPr>
            <w:tcW w:type="dxa" w:w="2284"/>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Uso de IA restrito às condições de 8.9 e registrado na auditoria</w:t>
            </w:r>
          </w:p>
        </w:tc>
      </w:tr>
    </w:tbl>
    <w:p>
      <w:pPr>
        <w:spacing w:after="120"/>
      </w:pPr>
    </w:p>
    <w:p>
      <w:pPr>
        <w:pStyle w:val="Heading1"/>
        <w:pageBreakBefore/>
      </w:pPr>
      <w:r>
        <w:t xml:space="preserve">14. Riscos e mitigação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3"/>
        <w:gridCol w:w="1268"/>
        <w:gridCol w:w="1141"/>
        <w:gridCol w:w="4186"/>
      </w:tblGrid>
      <w:tr>
        <w:trPr>
          <w:tblHeader/>
        </w:trPr>
        <w:tc>
          <w:tcPr>
            <w:tcW w:type="dxa" w:w="3043"/>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Risco</w:t>
            </w:r>
          </w:p>
        </w:tc>
        <w:tc>
          <w:tcPr>
            <w:tcW w:type="dxa" w:w="1268"/>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Probabilidade</w:t>
            </w:r>
          </w:p>
        </w:tc>
        <w:tc>
          <w:tcPr>
            <w:tcW w:type="dxa" w:w="1141"/>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Impacto</w:t>
            </w:r>
          </w:p>
        </w:tc>
        <w:tc>
          <w:tcPr>
            <w:tcW w:type="dxa" w:w="4186"/>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Mitigação</w:t>
            </w:r>
          </w:p>
        </w:tc>
      </w:tr>
      <w:tr>
        <w:trPr>
          <w:cantSplit/>
        </w:trPr>
        <w:tc>
          <w:tcPr>
            <w:tcW w:type="dxa" w:w="304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Equipe registra menos do que no papel por achar a ferramenta lenta</w:t>
            </w:r>
          </w:p>
        </w:tc>
        <w:tc>
          <w:tcPr>
            <w:tcW w:type="dxa" w:w="126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Média</w:t>
            </w:r>
          </w:p>
        </w:tc>
        <w:tc>
          <w:tcPr>
            <w:tcW w:type="dxa" w:w="114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Alto</w:t>
            </w:r>
          </w:p>
        </w:tc>
        <w:tc>
          <w:tcPr>
            <w:tcW w:type="dxa" w:w="418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Meta de dois toques por tentativa; testes com aplicadores reais desde o S2; modo de folha impressa com QR</w:t>
            </w:r>
          </w:p>
        </w:tc>
      </w:tr>
      <w:tr>
        <w:trPr>
          <w:cantSplit/>
        </w:trPr>
        <w:tc>
          <w:tcPr>
            <w:tcW w:type="dxa" w:w="3043"/>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Desempenho no jogo interpretado como aquisição</w:t>
            </w:r>
          </w:p>
        </w:tc>
        <w:tc>
          <w:tcPr>
            <w:tcW w:type="dxa" w:w="126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Alta</w:t>
            </w:r>
          </w:p>
        </w:tc>
        <w:tc>
          <w:tcPr>
            <w:tcW w:type="dxa" w:w="1141"/>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Alto</w:t>
            </w:r>
          </w:p>
        </w:tc>
        <w:tc>
          <w:tcPr>
            <w:tcW w:type="dxa" w:w="418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Regra R6, separação visual de canais, linguagem dos relatórios, formação da equipe</w:t>
            </w:r>
          </w:p>
        </w:tc>
      </w:tr>
      <w:tr>
        <w:trPr>
          <w:cantSplit/>
        </w:trPr>
        <w:tc>
          <w:tcPr>
            <w:tcW w:type="dxa" w:w="304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Aumento do tempo de tela das crianças</w:t>
            </w:r>
          </w:p>
        </w:tc>
        <w:tc>
          <w:tcPr>
            <w:tcW w:type="dxa" w:w="126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Média</w:t>
            </w:r>
          </w:p>
        </w:tc>
        <w:tc>
          <w:tcPr>
            <w:tcW w:type="dxa" w:w="114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Alto</w:t>
            </w:r>
          </w:p>
        </w:tc>
        <w:tc>
          <w:tcPr>
            <w:tcW w:type="dxa" w:w="418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Limites por idade padrão, medidor diário, regra R13, ausência de portal abaixo de 2 anos</w:t>
            </w:r>
          </w:p>
        </w:tc>
      </w:tr>
      <w:tr>
        <w:trPr>
          <w:cantSplit/>
        </w:trPr>
        <w:tc>
          <w:tcPr>
            <w:tcW w:type="dxa" w:w="3043"/>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Vazamento ou acesso indevido a dados</w:t>
            </w:r>
          </w:p>
        </w:tc>
        <w:tc>
          <w:tcPr>
            <w:tcW w:type="dxa" w:w="126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Baixa</w:t>
            </w:r>
          </w:p>
        </w:tc>
        <w:tc>
          <w:tcPr>
            <w:tcW w:type="dxa" w:w="1141"/>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Muito alto</w:t>
            </w:r>
          </w:p>
        </w:tc>
        <w:tc>
          <w:tcPr>
            <w:tcW w:type="dxa" w:w="418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Controles da Seção 12.5; auditoria de leitura; teste de intrusão</w:t>
            </w:r>
          </w:p>
        </w:tc>
      </w:tr>
      <w:tr>
        <w:trPr>
          <w:cantSplit/>
        </w:trPr>
        <w:tc>
          <w:tcPr>
            <w:tcW w:type="dxa" w:w="304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Perda de dados offline</w:t>
            </w:r>
          </w:p>
        </w:tc>
        <w:tc>
          <w:tcPr>
            <w:tcW w:type="dxa" w:w="126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Média</w:t>
            </w:r>
          </w:p>
        </w:tc>
        <w:tc>
          <w:tcPr>
            <w:tcW w:type="dxa" w:w="114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Alto</w:t>
            </w:r>
          </w:p>
        </w:tc>
        <w:tc>
          <w:tcPr>
            <w:tcW w:type="dxa" w:w="418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Outbox única com confirmação por registro; indicador de pendências; drenagem antes de nova sessão</w:t>
            </w:r>
          </w:p>
        </w:tc>
      </w:tr>
      <w:tr>
        <w:trPr>
          <w:cantSplit/>
        </w:trPr>
        <w:tc>
          <w:tcPr>
            <w:tcW w:type="dxa" w:w="3043"/>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Uso de material protegido sem licença</w:t>
            </w:r>
          </w:p>
        </w:tc>
        <w:tc>
          <w:tcPr>
            <w:tcW w:type="dxa" w:w="126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Média</w:t>
            </w:r>
          </w:p>
        </w:tc>
        <w:tc>
          <w:tcPr>
            <w:tcW w:type="dxa" w:w="1141"/>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Médio</w:t>
            </w:r>
          </w:p>
        </w:tc>
        <w:tc>
          <w:tcPr>
            <w:tcW w:type="dxa" w:w="418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Estrutura sem textos de itens; símbolos de licença aberta como padrão; revisão de conteúdo na publicação</w:t>
            </w:r>
          </w:p>
        </w:tc>
      </w:tr>
      <w:tr>
        <w:trPr>
          <w:cantSplit/>
        </w:trPr>
        <w:tc>
          <w:tcPr>
            <w:tcW w:type="dxa" w:w="304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Escopo grande demais para a equipe</w:t>
            </w:r>
          </w:p>
        </w:tc>
        <w:tc>
          <w:tcPr>
            <w:tcW w:type="dxa" w:w="126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Alta</w:t>
            </w:r>
          </w:p>
        </w:tc>
        <w:tc>
          <w:tcPr>
            <w:tcW w:type="dxa" w:w="114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Alto</w:t>
            </w:r>
          </w:p>
        </w:tc>
        <w:tc>
          <w:tcPr>
            <w:tcW w:type="dxa" w:w="418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Subprojetos com marco de piloto após S3; nada além do necessário em cada fase</w:t>
            </w:r>
          </w:p>
        </w:tc>
      </w:tr>
      <w:tr>
        <w:trPr>
          <w:cantSplit/>
        </w:trPr>
        <w:tc>
          <w:tcPr>
            <w:tcW w:type="dxa" w:w="3043"/>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Regras de decisão mal calibradas</w:t>
            </w:r>
          </w:p>
        </w:tc>
        <w:tc>
          <w:tcPr>
            <w:tcW w:type="dxa" w:w="126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Média</w:t>
            </w:r>
          </w:p>
        </w:tc>
        <w:tc>
          <w:tcPr>
            <w:tcW w:type="dxa" w:w="1141"/>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Médio</w:t>
            </w:r>
          </w:p>
        </w:tc>
        <w:tc>
          <w:tcPr>
            <w:tcW w:type="dxa" w:w="4186"/>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Parâmetros configuráveis, decisão sempre humana, trilha de alertas aceitos e recusados para recalibrar</w:t>
            </w:r>
          </w:p>
        </w:tc>
      </w:tr>
      <w:tr>
        <w:trPr>
          <w:cantSplit/>
        </w:trPr>
        <w:tc>
          <w:tcPr>
            <w:tcW w:type="dxa" w:w="304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Resistência à regra de modelo único em equipes acostumadas a misturar</w:t>
            </w:r>
          </w:p>
        </w:tc>
        <w:tc>
          <w:tcPr>
            <w:tcW w:type="dxa" w:w="126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Média</w:t>
            </w:r>
          </w:p>
        </w:tc>
        <w:tc>
          <w:tcPr>
            <w:tcW w:type="dxa" w:w="1141"/>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Médio</w:t>
            </w:r>
          </w:p>
        </w:tc>
        <w:tc>
          <w:tcPr>
            <w:tcW w:type="dxa" w:w="4186"/>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Explicação clínica na interface e na formação; transição formal de modelo disponível</w:t>
            </w:r>
          </w:p>
        </w:tc>
      </w:tr>
    </w:tbl>
    <w:p>
      <w:pPr>
        <w:spacing w:after="120"/>
      </w:pPr>
    </w:p>
    <w:p>
      <w:pPr>
        <w:pStyle w:val="Heading1"/>
        <w:pageBreakBefore/>
      </w:pPr>
      <w:r>
        <w:t xml:space="preserve">15. Indicadores de sucesso da plataforma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75"/>
        <w:gridCol w:w="4565"/>
        <w:gridCol w:w="3298"/>
      </w:tblGrid>
      <w:tr>
        <w:trPr>
          <w:tblHeader/>
        </w:trPr>
        <w:tc>
          <w:tcPr>
            <w:tcW w:type="dxa" w:w="1775"/>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Dimensão</w:t>
            </w:r>
          </w:p>
        </w:tc>
        <w:tc>
          <w:tcPr>
            <w:tcW w:type="dxa" w:w="4565"/>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Indicador</w:t>
            </w:r>
          </w:p>
        </w:tc>
        <w:tc>
          <w:tcPr>
            <w:tcW w:type="dxa" w:w="3298"/>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Meta inicial</w:t>
            </w:r>
          </w:p>
        </w:tc>
      </w:tr>
      <w:tr>
        <w:trPr>
          <w:cantSplit/>
        </w:trPr>
        <w:tc>
          <w:tcPr>
            <w:tcW w:type="dxa" w:w="177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Adoção</w:t>
            </w:r>
          </w:p>
        </w:tc>
        <w:tc>
          <w:tcPr>
            <w:tcW w:type="dxa" w:w="456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Sessões dos casos ativos registradas na plataforma</w:t>
            </w:r>
          </w:p>
        </w:tc>
        <w:tc>
          <w:tcPr>
            <w:tcW w:type="dxa" w:w="329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Acima de 90% após três meses de piloto</w:t>
            </w:r>
          </w:p>
        </w:tc>
      </w:tr>
      <w:tr>
        <w:trPr>
          <w:cantSplit/>
        </w:trPr>
        <w:tc>
          <w:tcPr>
            <w:tcW w:type="dxa" w:w="1775"/>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Eficiência</w:t>
            </w:r>
          </w:p>
        </w:tc>
        <w:tc>
          <w:tcPr>
            <w:tcW w:type="dxa" w:w="4565"/>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Tempo para registrar uma tentativa; tempo para fechar a sessão</w:t>
            </w:r>
          </w:p>
        </w:tc>
        <w:tc>
          <w:tcPr>
            <w:tcW w:type="dxa" w:w="329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Até 2 segundos; até 3 minutos</w:t>
            </w:r>
          </w:p>
        </w:tc>
      </w:tr>
      <w:tr>
        <w:trPr>
          <w:cantSplit/>
        </w:trPr>
        <w:tc>
          <w:tcPr>
            <w:tcW w:type="dxa" w:w="177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Qualidade do dado</w:t>
            </w:r>
          </w:p>
        </w:tc>
        <w:tc>
          <w:tcPr>
            <w:tcW w:type="dxa" w:w="456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Sessões com nota clínica, alvos com definição completa, eventos em quarentena</w:t>
            </w:r>
          </w:p>
        </w:tc>
        <w:tc>
          <w:tcPr>
            <w:tcW w:type="dxa" w:w="329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100%; 100%; abaixo de 1%</w:t>
            </w:r>
          </w:p>
        </w:tc>
      </w:tr>
      <w:tr>
        <w:trPr>
          <w:cantSplit/>
        </w:trPr>
        <w:tc>
          <w:tcPr>
            <w:tcW w:type="dxa" w:w="1775"/>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Decisão clínica</w:t>
            </w:r>
          </w:p>
        </w:tc>
        <w:tc>
          <w:tcPr>
            <w:tcW w:type="dxa" w:w="4565"/>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Alertas analisados pelo supervisor em até 7 dias</w:t>
            </w:r>
          </w:p>
        </w:tc>
        <w:tc>
          <w:tcPr>
            <w:tcW w:type="dxa" w:w="329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Acima de 90%</w:t>
            </w:r>
          </w:p>
        </w:tc>
      </w:tr>
      <w:tr>
        <w:trPr>
          <w:cantSplit/>
        </w:trPr>
        <w:tc>
          <w:tcPr>
            <w:tcW w:type="dxa" w:w="177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Fidelidade</w:t>
            </w:r>
          </w:p>
        </w:tc>
        <w:tc>
          <w:tcPr>
            <w:tcW w:type="dxa" w:w="456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Aplicadores com observação de fidelidade no mês; fidelidade média</w:t>
            </w:r>
          </w:p>
        </w:tc>
        <w:tc>
          <w:tcPr>
            <w:tcW w:type="dxa" w:w="329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100%; acima de 85%</w:t>
            </w:r>
          </w:p>
        </w:tc>
      </w:tr>
      <w:tr>
        <w:trPr>
          <w:cantSplit/>
        </w:trPr>
        <w:tc>
          <w:tcPr>
            <w:tcW w:type="dxa" w:w="1775"/>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Concordância</w:t>
            </w:r>
          </w:p>
        </w:tc>
        <w:tc>
          <w:tcPr>
            <w:tcW w:type="dxa" w:w="4565"/>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Sessões com concordância entre observadores no mês</w:t>
            </w:r>
          </w:p>
        </w:tc>
        <w:tc>
          <w:tcPr>
            <w:tcW w:type="dxa" w:w="329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Ao menos 20% dos casos, com índice acima de 80%</w:t>
            </w:r>
          </w:p>
        </w:tc>
      </w:tr>
      <w:tr>
        <w:trPr>
          <w:cantSplit/>
        </w:trPr>
        <w:tc>
          <w:tcPr>
            <w:tcW w:type="dxa" w:w="177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Generalização</w:t>
            </w:r>
          </w:p>
        </w:tc>
        <w:tc>
          <w:tcPr>
            <w:tcW w:type="dxa" w:w="456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Alvos dominados com sonda fora do canal de ensino</w:t>
            </w:r>
          </w:p>
        </w:tc>
        <w:tc>
          <w:tcPr>
            <w:tcW w:type="dxa" w:w="329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Acima de 80%</w:t>
            </w:r>
          </w:p>
        </w:tc>
      </w:tr>
      <w:tr>
        <w:trPr>
          <w:cantSplit/>
        </w:trPr>
        <w:tc>
          <w:tcPr>
            <w:tcW w:type="dxa" w:w="1775"/>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Família</w:t>
            </w:r>
          </w:p>
        </w:tc>
        <w:tc>
          <w:tcPr>
            <w:tcW w:type="dxa" w:w="4565"/>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Validação social: importância dos objetivos e aceitabilidade</w:t>
            </w:r>
          </w:p>
        </w:tc>
        <w:tc>
          <w:tcPr>
            <w:tcW w:type="dxa" w:w="329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Média acima de 4 em escala de 5</w:t>
            </w:r>
          </w:p>
        </w:tc>
      </w:tr>
      <w:tr>
        <w:trPr>
          <w:cantSplit/>
        </w:trPr>
        <w:tc>
          <w:tcPr>
            <w:tcW w:type="dxa" w:w="177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Tela</w:t>
            </w:r>
          </w:p>
        </w:tc>
        <w:tc>
          <w:tcPr>
            <w:tcW w:type="dxa" w:w="4565"/>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Dias com tempo de tela acima do limite por faixa etária</w:t>
            </w:r>
          </w:p>
        </w:tc>
        <w:tc>
          <w:tcPr>
            <w:tcW w:type="dxa" w:w="329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Abaixo de 5%</w:t>
            </w:r>
          </w:p>
        </w:tc>
      </w:tr>
      <w:tr>
        <w:trPr>
          <w:cantSplit/>
        </w:trPr>
        <w:tc>
          <w:tcPr>
            <w:tcW w:type="dxa" w:w="1775"/>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Segurança</w:t>
            </w:r>
          </w:p>
        </w:tc>
        <w:tc>
          <w:tcPr>
            <w:tcW w:type="dxa" w:w="4565"/>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Incidentes de acesso indevido</w:t>
            </w:r>
          </w:p>
        </w:tc>
        <w:tc>
          <w:tcPr>
            <w:tcW w:type="dxa" w:w="329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Zero</w:t>
            </w:r>
          </w:p>
        </w:tc>
      </w:tr>
    </w:tbl>
    <w:p>
      <w:pPr>
        <w:spacing w:after="120"/>
      </w:pPr>
    </w:p>
    <w:p>
      <w:pPr>
        <w:pStyle w:val="Heading1"/>
        <w:pageBreakBefore/>
      </w:pPr>
      <w:r>
        <w:t xml:space="preserve">16. Premissas adotadas e decisões pendentes</w:t>
      </w:r>
    </w:p>
    <w:p>
      <w:pPr>
        <w:spacing w:after="140" w:before="0" w:line="300"/>
        <w:jc w:val="left"/>
      </w:pPr>
      <w:r>
        <w:t xml:space="preserve">Algumas definições não estavam disponíveis quando este documento foi escrito. Em vez de deixar lacunas, o documento adotou premissas explícitas, listadas abaixo para validação. Mudar uma premissa afeta as seções indicadas.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2"/>
        <w:gridCol w:w="5453"/>
        <w:gridCol w:w="2283"/>
      </w:tblGrid>
      <w:tr>
        <w:trPr>
          <w:tblHeader/>
        </w:trPr>
        <w:tc>
          <w:tcPr>
            <w:tcW w:type="dxa" w:w="1902"/>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Tema</w:t>
            </w:r>
          </w:p>
        </w:tc>
        <w:tc>
          <w:tcPr>
            <w:tcW w:type="dxa" w:w="5453"/>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Premissa adotada</w:t>
            </w:r>
          </w:p>
        </w:tc>
        <w:tc>
          <w:tcPr>
            <w:tcW w:type="dxa" w:w="2283"/>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Seções afetadas se mudar</w:t>
            </w:r>
          </w:p>
        </w:tc>
      </w:tr>
      <w:tr>
        <w:trPr>
          <w:cantSplit/>
        </w:trPr>
        <w:tc>
          <w:tcPr>
            <w:tcW w:type="dxa" w:w="19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Modelo de negócio</w:t>
            </w:r>
          </w:p>
        </w:tc>
        <w:tc>
          <w:tcPr>
            <w:tcW w:type="dxa" w:w="545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A plataforma poderá ser comercializada (por exemplo, por assinatura). Por isso, símbolos Mulberry são o padrão e o ARASAAC só entra mediante autorização ou em uso não comercial</w:t>
            </w:r>
          </w:p>
        </w:tc>
        <w:tc>
          <w:tcPr>
            <w:tcW w:type="dxa" w:w="228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5.5, 9.4, 9.6</w:t>
            </w:r>
          </w:p>
        </w:tc>
      </w:tr>
      <w:tr>
        <w:trPr>
          <w:cantSplit/>
        </w:trPr>
        <w:tc>
          <w:tcPr>
            <w:tcW w:type="dxa" w:w="190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Escala</w:t>
            </w:r>
          </w:p>
        </w:tc>
        <w:tc>
          <w:tcPr>
            <w:tcW w:type="dxa" w:w="5453"/>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Plataforma para várias organizações independentes, e não apenas para uma clínica</w:t>
            </w:r>
          </w:p>
        </w:tc>
        <w:tc>
          <w:tcPr>
            <w:tcW w:type="dxa" w:w="2283"/>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6 (M1, M14), 7.6</w:t>
            </w:r>
          </w:p>
        </w:tc>
      </w:tr>
      <w:tr>
        <w:trPr>
          <w:cantSplit/>
        </w:trPr>
        <w:tc>
          <w:tcPr>
            <w:tcW w:type="dxa" w:w="19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Idioma e país</w:t>
            </w:r>
          </w:p>
        </w:tc>
        <w:tc>
          <w:tcPr>
            <w:tcW w:type="dxa" w:w="545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Português do Brasil e legislação brasileira; internacionalização apenas preparada na estrutura</w:t>
            </w:r>
          </w:p>
        </w:tc>
        <w:tc>
          <w:tcPr>
            <w:tcW w:type="dxa" w:w="228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5, 9.6</w:t>
            </w:r>
          </w:p>
        </w:tc>
      </w:tr>
      <w:tr>
        <w:trPr>
          <w:cantSplit/>
        </w:trPr>
        <w:tc>
          <w:tcPr>
            <w:tcW w:type="dxa" w:w="190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Aparelhos</w:t>
            </w:r>
          </w:p>
        </w:tc>
        <w:tc>
          <w:tcPr>
            <w:tcW w:type="dxa" w:w="5453"/>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Tablet como aparelho principal da sessão, celular do profissional como controle, computador para supervisão</w:t>
            </w:r>
          </w:p>
        </w:tc>
        <w:tc>
          <w:tcPr>
            <w:tcW w:type="dxa" w:w="2283"/>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10, 12</w:t>
            </w:r>
          </w:p>
        </w:tc>
      </w:tr>
      <w:tr>
        <w:trPr>
          <w:cantSplit/>
        </w:trPr>
        <w:tc>
          <w:tcPr>
            <w:tcW w:type="dxa" w:w="19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Pilha técnica</w:t>
            </w:r>
          </w:p>
        </w:tc>
        <w:tc>
          <w:tcPr>
            <w:tcW w:type="dxa" w:w="545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Abordagem A (aplicação web progressiva com PostgreSQL gerenciado)</w:t>
            </w:r>
          </w:p>
        </w:tc>
        <w:tc>
          <w:tcPr>
            <w:tcW w:type="dxa" w:w="228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12</w:t>
            </w:r>
          </w:p>
        </w:tc>
      </w:tr>
      <w:tr>
        <w:trPr>
          <w:cantSplit/>
        </w:trPr>
        <w:tc>
          <w:tcPr>
            <w:tcW w:type="dxa" w:w="1902"/>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bCs/>
                <w:sz w:val="18"/>
                <w:szCs w:val="18"/>
              </w:rPr>
              <w:t xml:space="preserve">Licença de instrumentos</w:t>
            </w:r>
          </w:p>
        </w:tc>
        <w:tc>
          <w:tcPr>
            <w:tcW w:type="dxa" w:w="5453"/>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Sem licença inicial para textos de itens de currículos protegidos; apenas estrutura e escores</w:t>
            </w:r>
          </w:p>
        </w:tc>
        <w:tc>
          <w:tcPr>
            <w:tcW w:type="dxa" w:w="2283"/>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b w:val="false"/>
                <w:bCs w:val="false"/>
                <w:sz w:val="18"/>
                <w:szCs w:val="18"/>
              </w:rPr>
              <w:t xml:space="preserve">4.3, 5.5, M3</w:t>
            </w:r>
          </w:p>
        </w:tc>
      </w:tr>
      <w:tr>
        <w:trPr>
          <w:cantSplit/>
        </w:trPr>
        <w:tc>
          <w:tcPr>
            <w:tcW w:type="dxa" w:w="1902"/>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bCs/>
                <w:sz w:val="18"/>
                <w:szCs w:val="18"/>
              </w:rPr>
              <w:t xml:space="preserve">Faturamento</w:t>
            </w:r>
          </w:p>
        </w:tc>
        <w:tc>
          <w:tcPr>
            <w:tcW w:type="dxa" w:w="545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Fora do escopo inicial</w:t>
            </w:r>
          </w:p>
        </w:tc>
        <w:tc>
          <w:tcPr>
            <w:tcW w:type="dxa" w:w="2283"/>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b w:val="false"/>
                <w:bCs w:val="false"/>
                <w:sz w:val="18"/>
                <w:szCs w:val="18"/>
              </w:rPr>
              <w:t xml:space="preserve">M14</w:t>
            </w:r>
          </w:p>
        </w:tc>
      </w:tr>
    </w:tbl>
    <w:p>
      <w:pPr>
        <w:spacing w:after="120"/>
      </w:pPr>
    </w:p>
    <w:p>
      <w:pPr>
        <w:pStyle w:val="Heading2"/>
        <w:keepNext/>
      </w:pPr>
      <w:r>
        <w:t xml:space="preserve">Decisões que dependem da coordenação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58"/>
        <w:gridCol w:w="5580"/>
      </w:tblGrid>
      <w:tr>
        <w:trPr>
          <w:tblHeader/>
        </w:trPr>
        <w:tc>
          <w:tcPr>
            <w:tcW w:type="dxa" w:w="4058"/>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Decisão</w:t>
            </w:r>
          </w:p>
        </w:tc>
        <w:tc>
          <w:tcPr>
            <w:tcW w:type="dxa" w:w="5580"/>
            <w:tcBorders>
              <w:top w:val="single" w:color="D0D5DD" w:sz="4"/>
              <w:left w:val="single" w:color="D0D5DD" w:sz="4"/>
              <w:bottom w:val="single" w:color="D0D5DD" w:sz="4"/>
              <w:right w:val="single" w:color="D0D5DD" w:sz="4"/>
            </w:tcBorders>
            <w:shd w:fill="1B5E63" w:color="auto" w:val="clear"/>
            <w:tcMar>
              <w:top w:type="dxa" w:w="70"/>
              <w:left w:type="dxa" w:w="110"/>
              <w:bottom w:type="dxa" w:w="70"/>
              <w:right w:type="dxa" w:w="110"/>
            </w:tcMar>
            <w:vAlign w:val="top"/>
          </w:tcPr>
          <w:p>
            <w:pPr>
              <w:spacing w:after="40" w:line="260"/>
            </w:pPr>
            <w:r>
              <w:rPr>
                <w:b/>
                <w:bCs/>
                <w:color w:val="FFFFFF"/>
                <w:sz w:val="18"/>
                <w:szCs w:val="18"/>
              </w:rPr>
              <w:t xml:space="preserve">Por que importa</w:t>
            </w:r>
          </w:p>
        </w:tc>
      </w:tr>
      <w:tr>
        <w:trPr>
          <w:cantSplit/>
        </w:trPr>
        <w:tc>
          <w:tcPr>
            <w:tcW w:type="dxa" w:w="405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Confirmar o modelo de negócio</w:t>
            </w:r>
          </w:p>
        </w:tc>
        <w:tc>
          <w:tcPr>
            <w:tcW w:type="dxa" w:w="558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Define o licenciamento de símbolos e o acordo com fornecedores</w:t>
            </w:r>
          </w:p>
        </w:tc>
      </w:tr>
      <w:tr>
        <w:trPr>
          <w:cantSplit/>
        </w:trPr>
        <w:tc>
          <w:tcPr>
            <w:tcW w:type="dxa" w:w="405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Buscar licença de uso digital da Lista de Verificação do ESDM e de outros currículos</w:t>
            </w:r>
          </w:p>
        </w:tc>
        <w:tc>
          <w:tcPr>
            <w:tcW w:type="dxa" w:w="5580"/>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Sem licença, o profissional digita a descrição dos objetivos; com licença, a plataforma pode oferecê-los prontos</w:t>
            </w:r>
          </w:p>
        </w:tc>
      </w:tr>
      <w:tr>
        <w:trPr>
          <w:cantSplit/>
        </w:trPr>
        <w:tc>
          <w:tcPr>
            <w:tcW w:type="dxa" w:w="405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Validar os padrões clínicos propostos (critério de domínio, parâmetros das regras R1 a R15, intervalo de registro Denver)</w:t>
            </w:r>
          </w:p>
        </w:tc>
        <w:tc>
          <w:tcPr>
            <w:tcW w:type="dxa" w:w="558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São pontos de partida fundamentados, mas precisam da assinatura da supervisão clínica responsável pelo produto</w:t>
            </w:r>
          </w:p>
        </w:tc>
      </w:tr>
      <w:tr>
        <w:trPr>
          <w:cantSplit/>
        </w:trPr>
        <w:tc>
          <w:tcPr>
            <w:tcW w:type="dxa" w:w="4058"/>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Definir se a família poderá conduzir sessões em casa como coterapeuta registrando no mesmo formato da equipe</w:t>
            </w:r>
          </w:p>
        </w:tc>
        <w:tc>
          <w:tcPr>
            <w:tcW w:type="dxa" w:w="5580"/>
            <w:tcBorders>
              <w:top w:val="single" w:color="D0D5DD" w:sz="4"/>
              <w:left w:val="single" w:color="D0D5DD" w:sz="4"/>
              <w:bottom w:val="single" w:color="D0D5DD" w:sz="4"/>
              <w:right w:val="single" w:color="D0D5DD" w:sz="4"/>
            </w:tcBorders>
            <w:shd w:fill="FAFBF9" w:color="auto" w:val="clear"/>
            <w:tcMar>
              <w:top w:type="dxa" w:w="70"/>
              <w:left w:type="dxa" w:w="110"/>
              <w:bottom w:type="dxa" w:w="70"/>
              <w:right w:type="dxa" w:w="110"/>
            </w:tcMar>
            <w:vAlign w:val="top"/>
          </w:tcPr>
          <w:p>
            <w:pPr>
              <w:spacing w:after="40" w:line="260"/>
            </w:pPr>
            <w:r>
              <w:rPr>
                <w:sz w:val="18"/>
                <w:szCs w:val="18"/>
              </w:rPr>
              <w:t xml:space="preserve">Afeta permissões, peso desses dados nos gráficos e treino parental</w:t>
            </w:r>
          </w:p>
        </w:tc>
      </w:tr>
      <w:tr>
        <w:trPr>
          <w:cantSplit/>
        </w:trPr>
        <w:tc>
          <w:tcPr>
            <w:tcW w:type="dxa" w:w="4058"/>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Definir a política de fotos e vídeos de crianças para estímulos personalizados e vídeo-modelação</w:t>
            </w:r>
          </w:p>
        </w:tc>
        <w:tc>
          <w:tcPr>
            <w:tcW w:type="dxa" w:w="5580"/>
            <w:tcBorders>
              <w:top w:val="single" w:color="D0D5DD" w:sz="4"/>
              <w:left w:val="single" w:color="D0D5DD" w:sz="4"/>
              <w:bottom w:val="single" w:color="D0D5DD" w:sz="4"/>
              <w:right w:val="single" w:color="D0D5DD" w:sz="4"/>
            </w:tcBorders>
            <w:tcMar>
              <w:top w:type="dxa" w:w="70"/>
              <w:left w:type="dxa" w:w="110"/>
              <w:bottom w:type="dxa" w:w="70"/>
              <w:right w:type="dxa" w:w="110"/>
            </w:tcMar>
            <w:vAlign w:val="top"/>
          </w:tcPr>
          <w:p>
            <w:pPr>
              <w:spacing w:after="40" w:line="260"/>
            </w:pPr>
            <w:r>
              <w:rPr>
                <w:sz w:val="18"/>
                <w:szCs w:val="18"/>
              </w:rPr>
              <w:t xml:space="preserve">Afeta consentimentos, armazenamento e retenção</w:t>
            </w:r>
          </w:p>
        </w:tc>
      </w:tr>
    </w:tbl>
    <w:p>
      <w:pPr>
        <w:spacing w:after="120"/>
      </w:pPr>
    </w:p>
    <w:p>
      <w:pPr>
        <w:pStyle w:val="Heading1"/>
        <w:pageBreakBefore/>
      </w:pPr>
      <w:r>
        <w:t xml:space="preserve">17. Referências</w:t>
      </w:r>
    </w:p>
    <w:p>
      <w:pPr>
        <w:pStyle w:val="Heading3"/>
        <w:keepNext/>
      </w:pPr>
      <w:r>
        <w:t xml:space="preserve">Literatura científica</w:t>
      </w:r>
    </w:p>
    <w:p>
      <w:pPr>
        <w:spacing w:after="90" w:line="270"/>
        <w:ind w:left="360" w:hanging="360"/>
      </w:pPr>
      <w:r>
        <w:rPr>
          <w:sz w:val="19"/>
          <w:szCs w:val="19"/>
        </w:rPr>
        <w:t xml:space="preserve">Azadboni, T. T., Nasiri, S., et al. (2024). Effectiveness of serious games in social skills training to autistic individuals: A systematic review. </w:t>
      </w:r>
      <w:r>
        <w:rPr>
          <w:i/>
          <w:iCs/>
          <w:sz w:val="19"/>
          <w:szCs w:val="19"/>
        </w:rPr>
        <w:t xml:space="preserve">Neuroscience and Biobehavioral Reviews</w:t>
      </w:r>
      <w:r>
        <w:rPr>
          <w:sz w:val="19"/>
          <w:szCs w:val="19"/>
        </w:rPr>
        <w:t xml:space="preserve">. https://doi.org/10.1016/j.neubiorev.2024.105634</w:t>
      </w:r>
    </w:p>
    <w:p>
      <w:pPr>
        <w:spacing w:after="90" w:line="270"/>
        <w:ind w:left="360" w:hanging="360"/>
      </w:pPr>
      <w:r>
        <w:rPr>
          <w:sz w:val="19"/>
          <w:szCs w:val="19"/>
        </w:rPr>
        <w:t xml:space="preserve">Baer, D. M., Wolf, M. M., &amp; Risley, T. R. (1968). Some current dimensions of applied behavior analysis. </w:t>
      </w:r>
      <w:r>
        <w:rPr>
          <w:i/>
          <w:iCs/>
          <w:sz w:val="19"/>
          <w:szCs w:val="19"/>
        </w:rPr>
        <w:t xml:space="preserve">Journal of Applied Behavior Analysis, 1</w:t>
      </w:r>
      <w:r>
        <w:rPr>
          <w:sz w:val="19"/>
          <w:szCs w:val="19"/>
        </w:rPr>
        <w:t xml:space="preserve">(1), 91–97.</w:t>
      </w:r>
    </w:p>
    <w:p>
      <w:pPr>
        <w:spacing w:after="90" w:line="270"/>
        <w:ind w:left="360" w:hanging="360"/>
      </w:pPr>
      <w:r>
        <w:rPr>
          <w:sz w:val="19"/>
          <w:szCs w:val="19"/>
        </w:rPr>
        <w:t xml:space="preserve">Carneiro, T., Carvalho, A., et al. (2024). Serious games for developing social skills in children and adolescents with autism spectrum disorder: A systematic review. </w:t>
      </w:r>
      <w:r>
        <w:rPr>
          <w:i/>
          <w:iCs/>
          <w:sz w:val="19"/>
          <w:szCs w:val="19"/>
        </w:rPr>
        <w:t xml:space="preserve">Healthcare, 12</w:t>
      </w:r>
      <w:r>
        <w:rPr>
          <w:sz w:val="19"/>
          <w:szCs w:val="19"/>
        </w:rPr>
        <w:t xml:space="preserve">(5), 508. https://doi.org/10.3390/healthcare12050508</w:t>
      </w:r>
    </w:p>
    <w:p>
      <w:pPr>
        <w:spacing w:after="90" w:line="270"/>
        <w:ind w:left="360" w:hanging="360"/>
      </w:pPr>
      <w:r>
        <w:rPr>
          <w:sz w:val="19"/>
          <w:szCs w:val="19"/>
        </w:rPr>
        <w:t xml:space="preserve">Carvalho, Braz &amp; Prates (2024). An analysis of the evaluation methods being applied to serious games for autistic children. </w:t>
      </w:r>
      <w:r>
        <w:rPr>
          <w:i/>
          <w:iCs/>
          <w:sz w:val="19"/>
          <w:szCs w:val="19"/>
        </w:rPr>
        <w:t xml:space="preserve">Journal on Interactive Systems, 15</w:t>
      </w:r>
      <w:r>
        <w:rPr>
          <w:sz w:val="19"/>
          <w:szCs w:val="19"/>
        </w:rPr>
        <w:t xml:space="preserve">(1). https://doi.org/10.5753/jis.2024.3288</w:t>
      </w:r>
    </w:p>
    <w:p>
      <w:pPr>
        <w:spacing w:after="90" w:line="270"/>
        <w:ind w:left="360" w:hanging="360"/>
      </w:pPr>
      <w:r>
        <w:rPr>
          <w:sz w:val="19"/>
          <w:szCs w:val="19"/>
        </w:rPr>
        <w:t xml:space="preserve">Curiel, H., et al. (2024). The use of a preference assessment tool with young children diagnosed with autism. </w:t>
      </w:r>
      <w:r>
        <w:rPr>
          <w:i/>
          <w:iCs/>
          <w:sz w:val="19"/>
          <w:szCs w:val="19"/>
        </w:rPr>
        <w:t xml:space="preserve">Behavioral Interventions</w:t>
      </w:r>
      <w:r>
        <w:rPr>
          <w:sz w:val="19"/>
          <w:szCs w:val="19"/>
        </w:rPr>
        <w:t xml:space="preserve">.</w:t>
      </w:r>
    </w:p>
    <w:p>
      <w:pPr>
        <w:spacing w:after="90" w:line="270"/>
        <w:ind w:left="360" w:hanging="360"/>
      </w:pPr>
      <w:r>
        <w:rPr>
          <w:sz w:val="19"/>
          <w:szCs w:val="19"/>
        </w:rPr>
        <w:t xml:space="preserve">DeLeon, I. G., &amp; Iwata, B. A. (1996). Evaluation of a multiple-stimulus presentation format for assessing reinforcer preferences. </w:t>
      </w:r>
      <w:r>
        <w:rPr>
          <w:i/>
          <w:iCs/>
          <w:sz w:val="19"/>
          <w:szCs w:val="19"/>
        </w:rPr>
        <w:t xml:space="preserve">Journal of Applied Behavior Analysis, 29</w:t>
      </w:r>
      <w:r>
        <w:rPr>
          <w:sz w:val="19"/>
          <w:szCs w:val="19"/>
        </w:rPr>
        <w:t xml:space="preserve">(4), 519–533.</w:t>
      </w:r>
    </w:p>
    <w:p>
      <w:pPr>
        <w:spacing w:after="90" w:line="270"/>
        <w:ind w:left="360" w:hanging="360"/>
      </w:pPr>
      <w:r>
        <w:rPr>
          <w:sz w:val="19"/>
          <w:szCs w:val="19"/>
        </w:rPr>
        <w:t xml:space="preserve">Early Start Denver Model effectiveness in young autistic children: A large multicentric randomised controlled trial in two European countries (2025). PubMed ID 40473417.</w:t>
      </w:r>
    </w:p>
    <w:p>
      <w:pPr>
        <w:spacing w:after="90" w:line="270"/>
        <w:ind w:left="360" w:hanging="360"/>
      </w:pPr>
      <w:r>
        <w:rPr>
          <w:sz w:val="19"/>
          <w:szCs w:val="19"/>
        </w:rPr>
        <w:t xml:space="preserve">Fisher, W. W., Kelley, M. E., &amp; Lomas, J. E. (2003). Visual aids and structured criteria for improving visual inspection and interpretation of single-case designs. </w:t>
      </w:r>
      <w:r>
        <w:rPr>
          <w:i/>
          <w:iCs/>
          <w:sz w:val="19"/>
          <w:szCs w:val="19"/>
        </w:rPr>
        <w:t xml:space="preserve">Journal of Applied Behavior Analysis, 36</w:t>
      </w:r>
      <w:r>
        <w:rPr>
          <w:sz w:val="19"/>
          <w:szCs w:val="19"/>
        </w:rPr>
        <w:t xml:space="preserve">(3), 387–406. https://doi.org/10.1901/jaba.2003.36-387</w:t>
      </w:r>
    </w:p>
    <w:p>
      <w:pPr>
        <w:spacing w:after="90" w:line="270"/>
        <w:ind w:left="360" w:hanging="360"/>
      </w:pPr>
      <w:r>
        <w:rPr>
          <w:sz w:val="19"/>
          <w:szCs w:val="19"/>
        </w:rPr>
        <w:t xml:space="preserve">Fuller, J. L., &amp; Fienup, D. M. (2018). A preliminary analysis of mastery criterion level: Effects on response maintenance. </w:t>
      </w:r>
      <w:r>
        <w:rPr>
          <w:i/>
          <w:iCs/>
          <w:sz w:val="19"/>
          <w:szCs w:val="19"/>
        </w:rPr>
        <w:t xml:space="preserve">Behavior Analysis in Practice, 11</w:t>
      </w:r>
      <w:r>
        <w:rPr>
          <w:sz w:val="19"/>
          <w:szCs w:val="19"/>
        </w:rPr>
        <w:t xml:space="preserve">(1), 1–8.</w:t>
      </w:r>
    </w:p>
    <w:p>
      <w:pPr>
        <w:spacing w:after="90" w:line="270"/>
        <w:ind w:left="360" w:hanging="360"/>
      </w:pPr>
      <w:r>
        <w:rPr>
          <w:sz w:val="19"/>
          <w:szCs w:val="19"/>
        </w:rPr>
        <w:t xml:space="preserve">Jhuo, R.-A., &amp; Chu, S.-Y. (2022). A review of parent-implemented Early Start Denver Model for children with autism spectrum disorder. </w:t>
      </w:r>
      <w:r>
        <w:rPr>
          <w:i/>
          <w:iCs/>
          <w:sz w:val="19"/>
          <w:szCs w:val="19"/>
        </w:rPr>
        <w:t xml:space="preserve">Children, 9</w:t>
      </w:r>
      <w:r>
        <w:rPr>
          <w:sz w:val="19"/>
          <w:szCs w:val="19"/>
        </w:rPr>
        <w:t xml:space="preserve">(2), 285. https://doi.org/10.3390/children9020285</w:t>
      </w:r>
    </w:p>
    <w:p>
      <w:pPr>
        <w:spacing w:after="90" w:line="270"/>
        <w:ind w:left="360" w:hanging="360"/>
      </w:pPr>
      <w:r>
        <w:rPr>
          <w:sz w:val="19"/>
          <w:szCs w:val="19"/>
        </w:rPr>
        <w:t xml:space="preserve">Krantz, P. J., &amp; McClannahan, L. E. (1993). Teaching children with autism to initiate to peers: Effects of a script-fading procedure. </w:t>
      </w:r>
      <w:r>
        <w:rPr>
          <w:i/>
          <w:iCs/>
          <w:sz w:val="19"/>
          <w:szCs w:val="19"/>
        </w:rPr>
        <w:t xml:space="preserve">Journal of Applied Behavior Analysis, 26</w:t>
      </w:r>
      <w:r>
        <w:rPr>
          <w:sz w:val="19"/>
          <w:szCs w:val="19"/>
        </w:rPr>
        <w:t xml:space="preserve">(1), 121–132.</w:t>
      </w:r>
    </w:p>
    <w:p>
      <w:pPr>
        <w:spacing w:after="90" w:line="270"/>
        <w:ind w:left="360" w:hanging="360"/>
      </w:pPr>
      <w:r>
        <w:rPr>
          <w:sz w:val="19"/>
          <w:szCs w:val="19"/>
        </w:rPr>
        <w:t xml:space="preserve">McDougale, C. B., Richling, S. M., Longino, E. B., &amp; O’Rourke, S. A. (2020). Mastery criteria and maintenance: A descriptive analysis of applied research procedures. </w:t>
      </w:r>
      <w:r>
        <w:rPr>
          <w:i/>
          <w:iCs/>
          <w:sz w:val="19"/>
          <w:szCs w:val="19"/>
        </w:rPr>
        <w:t xml:space="preserve">Behavior Analysis in Practice, 13</w:t>
      </w:r>
      <w:r>
        <w:rPr>
          <w:sz w:val="19"/>
          <w:szCs w:val="19"/>
        </w:rPr>
        <w:t xml:space="preserve">, 402–410. https://doi.org/10.1007/s40617-019-00365-2</w:t>
      </w:r>
    </w:p>
    <w:p>
      <w:pPr>
        <w:spacing w:after="90" w:line="270"/>
        <w:ind w:left="360" w:hanging="360"/>
      </w:pPr>
      <w:r>
        <w:rPr>
          <w:sz w:val="19"/>
          <w:szCs w:val="19"/>
        </w:rPr>
        <w:t xml:space="preserve">Morris, S. L., &amp; Vollmer, T. R. (2020). A comparison of methods for assessing preference for social interactions. </w:t>
      </w:r>
      <w:r>
        <w:rPr>
          <w:i/>
          <w:iCs/>
          <w:sz w:val="19"/>
          <w:szCs w:val="19"/>
        </w:rPr>
        <w:t xml:space="preserve">Journal of Applied Behavior Analysis, 53</w:t>
      </w:r>
      <w:r>
        <w:rPr>
          <w:sz w:val="19"/>
          <w:szCs w:val="19"/>
        </w:rPr>
        <w:t xml:space="preserve">(2).</w:t>
      </w:r>
    </w:p>
    <w:p>
      <w:pPr>
        <w:spacing w:after="90" w:line="270"/>
        <w:ind w:left="360" w:hanging="360"/>
      </w:pPr>
      <w:r>
        <w:rPr>
          <w:sz w:val="19"/>
          <w:szCs w:val="19"/>
        </w:rPr>
        <w:t xml:space="preserve">A practitioner’s guide to measuring procedural fidelity (2024). </w:t>
      </w:r>
      <w:r>
        <w:rPr>
          <w:i/>
          <w:iCs/>
          <w:sz w:val="19"/>
          <w:szCs w:val="19"/>
        </w:rPr>
        <w:t xml:space="preserve">Behavior Analysis in Practice</w:t>
      </w:r>
      <w:r>
        <w:rPr>
          <w:sz w:val="19"/>
          <w:szCs w:val="19"/>
        </w:rPr>
        <w:t xml:space="preserve">. https://doi.org/10.1007/s40617-024-00910-8</w:t>
      </w:r>
    </w:p>
    <w:p>
      <w:pPr>
        <w:spacing w:after="90" w:line="270"/>
        <w:ind w:left="360" w:hanging="360"/>
      </w:pPr>
      <w:r>
        <w:rPr>
          <w:sz w:val="19"/>
          <w:szCs w:val="19"/>
        </w:rPr>
        <w:t xml:space="preserve">Procedural integrity in applied settings: A survey of training, practices, and barriers (2024). </w:t>
      </w:r>
      <w:r>
        <w:rPr>
          <w:i/>
          <w:iCs/>
          <w:sz w:val="19"/>
          <w:szCs w:val="19"/>
        </w:rPr>
        <w:t xml:space="preserve">Behavior Analysis in Practice</w:t>
      </w:r>
      <w:r>
        <w:rPr>
          <w:sz w:val="19"/>
          <w:szCs w:val="19"/>
        </w:rPr>
        <w:t xml:space="preserve">.</w:t>
      </w:r>
    </w:p>
    <w:p>
      <w:pPr>
        <w:spacing w:after="90" w:line="270"/>
        <w:ind w:left="360" w:hanging="360"/>
      </w:pPr>
      <w:r>
        <w:rPr>
          <w:sz w:val="19"/>
          <w:szCs w:val="19"/>
        </w:rPr>
        <w:t xml:space="preserve">Rogers, S. J., &amp; Dawson, G. (2010). </w:t>
      </w:r>
      <w:r>
        <w:rPr>
          <w:i/>
          <w:iCs/>
          <w:sz w:val="19"/>
          <w:szCs w:val="19"/>
        </w:rPr>
        <w:t xml:space="preserve">Early Start Denver Model for young children with autism: Promoting language, learning, and engagement</w:t>
      </w:r>
      <w:r>
        <w:rPr>
          <w:sz w:val="19"/>
          <w:szCs w:val="19"/>
        </w:rPr>
        <w:t xml:space="preserve">. Guilford Press.</w:t>
      </w:r>
    </w:p>
    <w:p>
      <w:pPr>
        <w:spacing w:after="90" w:line="270"/>
        <w:ind w:left="360" w:hanging="360"/>
      </w:pPr>
      <w:r>
        <w:rPr>
          <w:sz w:val="19"/>
          <w:szCs w:val="19"/>
        </w:rPr>
        <w:t xml:space="preserve">Schreibman, L., Dawson, G., Stahmer, A. C., et al. (2015). Naturalistic developmental behavioral interventions: Empirically validated treatments for autism spectrum disorder. </w:t>
      </w:r>
      <w:r>
        <w:rPr>
          <w:i/>
          <w:iCs/>
          <w:sz w:val="19"/>
          <w:szCs w:val="19"/>
        </w:rPr>
        <w:t xml:space="preserve">Journal of Autism and Developmental Disorders, 45</w:t>
      </w:r>
      <w:r>
        <w:rPr>
          <w:sz w:val="19"/>
          <w:szCs w:val="19"/>
        </w:rPr>
        <w:t xml:space="preserve">(8), 2411–2428.</w:t>
      </w:r>
    </w:p>
    <w:p>
      <w:pPr>
        <w:spacing w:after="90" w:line="270"/>
        <w:ind w:left="360" w:hanging="360"/>
      </w:pPr>
      <w:r>
        <w:rPr>
          <w:sz w:val="19"/>
          <w:szCs w:val="19"/>
        </w:rPr>
        <w:t xml:space="preserve">Skinner, B. F. (1957). </w:t>
      </w:r>
      <w:r>
        <w:rPr>
          <w:i/>
          <w:iCs/>
          <w:sz w:val="19"/>
          <w:szCs w:val="19"/>
        </w:rPr>
        <w:t xml:space="preserve">Verbal behavior</w:t>
      </w:r>
      <w:r>
        <w:rPr>
          <w:sz w:val="19"/>
          <w:szCs w:val="19"/>
        </w:rPr>
        <w:t xml:space="preserve">. Appleton-Century-Crofts.</w:t>
      </w:r>
    </w:p>
    <w:p>
      <w:pPr>
        <w:spacing w:after="90" w:line="270"/>
        <w:ind w:left="360" w:hanging="360"/>
      </w:pPr>
      <w:r>
        <w:rPr>
          <w:sz w:val="19"/>
          <w:szCs w:val="19"/>
        </w:rPr>
        <w:t xml:space="preserve">Snyder, K., Higbee, T. S., &amp; Dayton, E. (2012). Preliminary investigation of a video-based stimulus preference assessment. </w:t>
      </w:r>
      <w:r>
        <w:rPr>
          <w:i/>
          <w:iCs/>
          <w:sz w:val="19"/>
          <w:szCs w:val="19"/>
        </w:rPr>
        <w:t xml:space="preserve">Journal of Applied Behavior Analysis, 45</w:t>
      </w:r>
      <w:r>
        <w:rPr>
          <w:sz w:val="19"/>
          <w:szCs w:val="19"/>
        </w:rPr>
        <w:t xml:space="preserve">(2), 413–418.</w:t>
      </w:r>
    </w:p>
    <w:p>
      <w:pPr>
        <w:spacing w:after="90" w:line="270"/>
        <w:ind w:left="360" w:hanging="360"/>
      </w:pPr>
      <w:r>
        <w:rPr>
          <w:sz w:val="19"/>
          <w:szCs w:val="19"/>
        </w:rPr>
        <w:t xml:space="preserve">Steinbrenner, J. R., Hume, K., Odom, S. L., et al. (2020). </w:t>
      </w:r>
      <w:r>
        <w:rPr>
          <w:i/>
          <w:iCs/>
          <w:sz w:val="19"/>
          <w:szCs w:val="19"/>
        </w:rPr>
        <w:t xml:space="preserve">Evidence-based practices for children, youth, and young adults with autism</w:t>
      </w:r>
      <w:r>
        <w:rPr>
          <w:sz w:val="19"/>
          <w:szCs w:val="19"/>
        </w:rPr>
        <w:t xml:space="preserve">. University of North Carolina, Frank Porter Graham Child Development Institute, National Clearinghouse on Autism Evidence and Practice Review Team.</w:t>
      </w:r>
    </w:p>
    <w:p>
      <w:pPr>
        <w:spacing w:after="90" w:line="270"/>
        <w:ind w:left="360" w:hanging="360"/>
      </w:pPr>
      <w:r>
        <w:rPr>
          <w:sz w:val="19"/>
          <w:szCs w:val="19"/>
        </w:rPr>
        <w:t xml:space="preserve">Wang, Z., Loh, S. C., Tian, J., &amp; Chen, Q. J. (2022). A meta-analysis of the effect of the Early Start Denver Model in children with autism spectrum disorder. </w:t>
      </w:r>
      <w:r>
        <w:rPr>
          <w:i/>
          <w:iCs/>
          <w:sz w:val="19"/>
          <w:szCs w:val="19"/>
        </w:rPr>
        <w:t xml:space="preserve">International Journal of Developmental Disabilities, 68</w:t>
      </w:r>
      <w:r>
        <w:rPr>
          <w:sz w:val="19"/>
          <w:szCs w:val="19"/>
        </w:rPr>
        <w:t xml:space="preserve">(5), 587–597.</w:t>
      </w:r>
    </w:p>
    <w:p>
      <w:pPr>
        <w:pStyle w:val="Heading3"/>
        <w:keepNext/>
      </w:pPr>
      <w:r>
        <w:t xml:space="preserve">Normas e documentos técnicos</w:t>
      </w:r>
    </w:p>
    <w:p>
      <w:pPr>
        <w:spacing w:after="90" w:line="270"/>
        <w:ind w:left="360" w:hanging="360"/>
      </w:pPr>
      <w:r>
        <w:rPr>
          <w:sz w:val="19"/>
          <w:szCs w:val="19"/>
        </w:rPr>
        <w:t xml:space="preserve">Brasil. Lei nº 13.709, de 14 de agosto de 2018 (Lei Geral de Proteção de Dados Pessoais).</w:t>
      </w:r>
    </w:p>
    <w:p>
      <w:pPr>
        <w:spacing w:after="90" w:line="270"/>
        <w:ind w:left="360" w:hanging="360"/>
      </w:pPr>
      <w:r>
        <w:rPr>
          <w:sz w:val="19"/>
          <w:szCs w:val="19"/>
        </w:rPr>
        <w:t xml:space="preserve">Brasil. Lei nº 13.787, de 27 de dezembro de 2018 (digitalização e guarda de prontuário).</w:t>
      </w:r>
    </w:p>
    <w:p>
      <w:pPr>
        <w:spacing w:after="90" w:line="270"/>
        <w:ind w:left="360" w:hanging="360"/>
      </w:pPr>
      <w:r>
        <w:rPr>
          <w:sz w:val="19"/>
          <w:szCs w:val="19"/>
        </w:rPr>
        <w:t xml:space="preserve">Brasil. Lei nº 15.211, de 17 de setembro de 2025 (Estatuto Digital da Criança e do Adolescente), em vigor desde 17 de março de 2026.</w:t>
      </w:r>
    </w:p>
    <w:p>
      <w:pPr>
        <w:spacing w:after="90" w:line="270"/>
        <w:ind w:left="360" w:hanging="360"/>
      </w:pPr>
      <w:r>
        <w:rPr>
          <w:sz w:val="19"/>
          <w:szCs w:val="19"/>
        </w:rPr>
        <w:t xml:space="preserve">Autoridade Nacional de Proteção de Dados. Enunciado CD/ANPD nº 1, de 22 de maio de 2023.</w:t>
      </w:r>
    </w:p>
    <w:p>
      <w:pPr>
        <w:spacing w:after="90" w:line="270"/>
        <w:ind w:left="360" w:hanging="360"/>
      </w:pPr>
      <w:r>
        <w:rPr>
          <w:sz w:val="19"/>
          <w:szCs w:val="19"/>
        </w:rPr>
        <w:t xml:space="preserve">Conselho Federal de Psicologia. Resolução nº 10/2005 (Código de Ética Profissional do Psicólogo); Resolução nº 01/2009 (registro documental); Resolução nº 06/2019 (documentos escritos); Resolução nº 09/2024 (exercício profissional mediado por TDICs).</w:t>
      </w:r>
    </w:p>
    <w:p>
      <w:pPr>
        <w:spacing w:after="90" w:line="270"/>
        <w:ind w:left="360" w:hanging="360"/>
      </w:pPr>
      <w:r>
        <w:rPr>
          <w:sz w:val="19"/>
          <w:szCs w:val="19"/>
        </w:rPr>
        <w:t xml:space="preserve">Sociedade Brasileira de Pediatria (2024). Manual #MenosTelas #MaisSaúde, atualização.</w:t>
      </w:r>
    </w:p>
    <w:p>
      <w:pPr>
        <w:spacing w:after="90" w:line="270"/>
        <w:ind w:left="360" w:hanging="360"/>
      </w:pPr>
      <w:r>
        <w:rPr>
          <w:sz w:val="19"/>
          <w:szCs w:val="19"/>
        </w:rPr>
        <w:t xml:space="preserve">World Wide Web Consortium. Web Content Accessibility Guidelines (WCAG) 2.2.</w:t>
      </w:r>
    </w:p>
    <w:p>
      <w:pPr>
        <w:spacing w:after="90" w:line="270"/>
        <w:ind w:left="360" w:hanging="360"/>
      </w:pPr>
      <w:r>
        <w:rPr>
          <w:sz w:val="19"/>
          <w:szCs w:val="19"/>
        </w:rPr>
        <w:t xml:space="preserve">ARASAAC. Condições de uso dos pictogramas (licença CC BY-NC-SA). https://arasaac.org/terms-of-use</w:t>
      </w:r>
    </w:p>
    <w:p>
      <w:pPr>
        <w:spacing w:after="90" w:line="270"/>
        <w:ind w:left="360" w:hanging="360"/>
      </w:pPr>
      <w:r>
        <w:rPr>
          <w:sz w:val="19"/>
          <w:szCs w:val="19"/>
        </w:rPr>
        <w:t xml:space="preserve">Mulberry Symbols (licença CC BY-SA 4.0). https://mulberrysymbols.org</w:t>
      </w:r>
    </w:p>
    <w:p>
      <w:pPr>
        <w:pStyle w:val="Heading3"/>
        <w:keepNext/>
      </w:pPr>
      <w:r>
        <w:t xml:space="preserve">Bases de referência analisadas</w:t>
      </w:r>
    </w:p>
    <w:p>
      <w:pPr>
        <w:spacing w:after="90" w:line="270"/>
        <w:ind w:left="360" w:hanging="360"/>
      </w:pPr>
      <w:r>
        <w:rPr>
          <w:sz w:val="19"/>
          <w:szCs w:val="19"/>
        </w:rPr>
        <w:t xml:space="preserve">rsangijipa/PsicoPlayKids (versão de outubro de 2026): monorepo, 36 migrações, 9 pacotes, 25 jogos, documentação interna, incluindo auditoria profunda e modelo de ameaças.</w:t>
      </w:r>
    </w:p>
    <w:p>
      <w:pPr>
        <w:spacing w:after="90" w:line="270"/>
        <w:ind w:left="360" w:hanging="360"/>
      </w:pPr>
      <w:r>
        <w:rPr>
          <w:sz w:val="19"/>
          <w:szCs w:val="19"/>
        </w:rPr>
        <w:t xml:space="preserve">rsangijipa/Terapia-Arcade (versão de outubro de 2026): protótipo de biblioteca de minijogos terapêuticos, 7 jogos.</w:t>
      </w:r>
    </w:p>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7085"/>
        <w:sz w:val="16"/>
        <w:szCs w:val="16"/>
      </w:rPr>
      <w:t xml:space="preserve">Página </w:t>
    </w:r>
    <w:r>
      <w:rPr>
        <w:color w:val="6670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4" w:space="4"/>
      </w:pBdr>
      <w:jc w:val="right"/>
    </w:pPr>
    <w:r>
      <w:rPr>
        <w:color w:val="667085"/>
        <w:sz w:val="16"/>
        <w:szCs w:val="16"/>
      </w:rPr>
      <w:t xml:space="preserve">PsicoPlay · Especificação da plataforma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24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Arial" w:cs="Arial" w:eastAsia="Arial" w:hAnsi="Arial"/>
      <w:b/>
      <w:bCs/>
      <w:color w:val="1B5E63"/>
      <w:sz w:val="34"/>
      <w:szCs w:val="34"/>
    </w:rPr>
  </w:style>
  <w:style w:type="paragraph" w:styleId="Heading2">
    <w:name w:val="Heading 2"/>
    <w:basedOn w:val="Normal"/>
    <w:next w:val="Normal"/>
    <w:qFormat/>
    <w:pPr>
      <w:spacing w:after="140" w:before="300"/>
      <w:outlineLvl w:val="1"/>
    </w:pPr>
    <w:rPr>
      <w:rFonts w:ascii="Arial" w:cs="Arial" w:eastAsia="Arial" w:hAnsi="Arial"/>
      <w:b/>
      <w:bCs/>
      <w:color w:val="134449"/>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7B6BA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PsicoPlay — Especificação da plataforma</dc:title>
  <dc:creator>PsicoPlay</dc:creator>
  <dc:description>Documento-base da plataforma</dc:description>
  <cp:lastModifiedBy>Un-named</cp:lastModifiedBy>
  <cp:revision>1</cp:revision>
  <dcterms:created xsi:type="dcterms:W3CDTF">2026-10-04T06:09:33.759Z</dcterms:created>
  <dcterms:modified xsi:type="dcterms:W3CDTF">2026-10-04T06:09:33.759Z</dcterms:modified>
</cp:coreProperties>
</file>

<file path=docProps/custom.xml><?xml version="1.0" encoding="utf-8"?>
<Properties xmlns="http://schemas.openxmlformats.org/officeDocument/2006/custom-properties" xmlns:vt="http://schemas.openxmlformats.org/officeDocument/2006/docPropsVTypes"/>
</file>