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widowControl/>
      </w:pPr>
      <w:r>
        <w:rPr>
          <w:rFonts w:ascii="Liberation Sans" w:hAnsi="Liberation Sans" w:eastAsia="Liberation Sans"/>
          <w:b/>
          <w:color w:val="B86B4D"/>
          <w:sz w:val="32"/>
        </w:rPr>
        <w:t>PSICOPLAY</w:t>
      </w:r>
    </w:p>
    <w:p>
      <w:pPr>
        <w:pStyle w:val="Title"/>
        <w:jc w:val="center"/>
        <w:widowControl/>
      </w:pPr>
      <w:r>
        <w:rPr>
          <w:rFonts w:ascii="Liberation Sans" w:hAnsi="Liberation Sans" w:eastAsia="Liberation Sans"/>
          <w:b/>
          <w:color w:val="214B49"/>
          <w:sz w:val="60"/>
        </w:rPr>
        <w:t>Especificação Funcional, Clínica, Técnica e de Segurança</w:t>
      </w:r>
    </w:p>
    <w:p>
      <w:pPr>
        <w:pStyle w:val="Subtitle"/>
        <w:jc w:val="center"/>
        <w:widowControl/>
      </w:pPr>
      <w:r>
        <w:rPr>
          <w:rFonts w:ascii="Liberation Sans" w:hAnsi="Liberation Sans" w:eastAsia="Liberation Sans"/>
          <w:color w:val="697370"/>
          <w:sz w:val="26"/>
        </w:rPr>
        <w:t>Plataforma integrada para intervenção precoce, ABA/NDBI/ESDM, jogos terapêuticos, planos individuais e inteligência clínica orientada por dados</w:t>
      </w:r>
    </w:p>
    <w:p>
      <w:pPr>
        <w:jc w:val="center"/>
        <w:widowControl/>
      </w:pPr>
      <w:r>
        <w:rPr>
          <w:rFonts w:ascii="Liberation Sans" w:hAnsi="Liberation Sans" w:eastAsia="Liberation Sans"/>
          <w:color w:val="2B6562"/>
          <w:sz w:val="24"/>
        </w:rPr>
        <w:t>━━━━━━━━━━━━━━━━━━━━━━━━━━━━━━━━━━━━</w:t>
      </w:r>
    </w:p>
    <w:p>
      <w:pPr>
        <w:spacing w:before="500"/>
        <w:jc w:val="center"/>
        <w:widowControl/>
      </w:pPr>
      <w:r>
        <w:rPr>
          <w:rFonts w:ascii="Liberation Sans" w:hAnsi="Liberation Sans" w:eastAsia="Liberation Sans"/>
          <w:b/>
          <w:color w:val="2B6562"/>
          <w:sz w:val="18"/>
        </w:rPr>
        <w:t>Base analisada</w:t>
      </w:r>
    </w:p>
    <w:p>
      <w:pPr>
        <w:jc w:val="center"/>
        <w:widowControl/>
      </w:pPr>
      <w:r>
        <w:rPr>
          <w:rFonts w:ascii="Liberation Sans" w:hAnsi="Liberation Sans" w:eastAsia="Liberation Sans"/>
          <w:b/>
          <w:color w:val="303735"/>
          <w:sz w:val="21"/>
        </w:rPr>
        <w:t>rsangijipa/PsicoPlayKids  +  rsangijipa/Terapia-Arcade</w:t>
      </w:r>
    </w:p>
    <w:p>
      <w:pPr>
        <w:jc w:val="center"/>
        <w:widowControl/>
      </w:pPr>
      <w:r>
        <w:rPr>
          <w:rFonts w:ascii="Liberation Sans" w:hAnsi="Liberation Sans" w:eastAsia="Liberation Sans"/>
          <w:color w:val="697370"/>
          <w:sz w:val="18"/>
        </w:rPr>
        <w:t>Análise de repositórios privados via GitHub + pesquisa técnica e normativa atualizada</w:t>
      </w:r>
    </w:p>
    <w:p>
      <w:pPr>
        <w:spacing w:before="700"/>
        <w:jc w:val="center"/>
        <w:widowControl/>
      </w:pPr>
      <w:r>
        <w:rPr>
          <w:rFonts w:ascii="Liberation Sans" w:hAnsi="Liberation Sans" w:eastAsia="Liberation Sans"/>
          <w:b/>
          <w:color w:val="303735"/>
          <w:sz w:val="20"/>
        </w:rPr>
        <w:t>Versão 1.0  •  04 de outubro de 2026</w:t>
      </w:r>
    </w:p>
    <w:p>
      <w:pPr>
        <w:jc w:val="center"/>
        <w:widowControl/>
      </w:pPr>
      <w:r>
        <w:rPr>
          <w:rFonts w:ascii="Liberation Sans" w:hAnsi="Liberation Sans" w:eastAsia="Liberation Sans"/>
          <w:color w:val="697370"/>
          <w:sz w:val="18"/>
        </w:rPr>
        <w:t>Documento mestre para evolução do produto e arquitetura de produção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D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4" w:lineRule="auto"/>
            </w:pPr>
            <w:r>
              <w:rPr>
                <w:rFonts w:ascii="Liberation Sans" w:hAnsi="Liberation Sans" w:eastAsia="Liberation Sans"/>
                <w:b/>
                <w:color w:val="365F7D"/>
                <w:sz w:val="18"/>
              </w:rPr>
              <w:t>Natureza do documento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Esta especificação organiza requisitos de produto, engenharia, segurança e prática clínica. Não substitui revisão jurídica, validação de encarregado/DPO, supervisão clínica ou normas profissionais aplicáveis. Recursos de avaliação, protocolos proprietários e instrumentos psicológicos só devem ser incorporados quando houver autorização, licenciamento e enquadramento profissional adequados.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p>
      <w:pPr>
        <w:pStyle w:val="Heading1"/>
        <w:keepNext/>
        <w:spacing w:before="200" w:after="100" w:line="264" w:lineRule="auto"/>
        <w:widowControl/>
      </w:pPr>
      <w:r>
        <w:t>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Produto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PsicoPlay — plataforma clínica e terapêutica gamificada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Escopo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Profissional, criança/adolescente, família/responsável, supervisão, organização clínica, jogos/recursos e backend de dados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Repositórios-base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rsangijipa/PsicoPlayKids; rsangijipa/Terapia-Arcade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Data da análise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04/10/2026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Estado do documento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Especificação recomendada; decisões de implementação ainda devem passar por ADRs, validação clínica, segurança e compliance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Prioridade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Dados clínicos confiáveis, segurança de menores e utilidade real no fluxo de trabalho profissional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Como ler esta especificação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documento usa três classificações para evitar misturar o estado atual do código com propostas futuras: EXISTE = evidência direta nos repositórios; CONSOLIDAR = existe parcialmente ou com documentação divergente; IMPLANTAR = requisito novo recomendado. Quando um recurso clínico depende de método, instrumento ou conteúdo protegido, a implementação deve armazenar apenas a estrutura necessária e integrar o conteúdo por licença, sem reproduzir materiais proprietários.</w:t>
      </w:r>
    </w:p>
    <w:p>
      <w:pPr>
        <w:pStyle w:val="Heading1"/>
        <w:keepNext/>
        <w:spacing w:before="200" w:after="100" w:line="264" w:lineRule="auto"/>
        <w:widowControl/>
      </w:pPr>
      <w:r>
        <w:t>Sumário executivo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PsicoPlay já deixou de ser apenas uma interface de jogos. A árvore atual do repositório mostra um monorepo com portal profissional, portal infantil, launcher, SDK, engine de sessão, agregador de dados, protocolo de eventos, design system, Supabase/Postgres, políticas de Row Level Security e migrações que cobrem sessão, aplicativos, eventos clínicos, avaliações e pontuação de jogos. O Terapia-Arcade, por sua vez, é um protótipo menor e muito útil para o desenho do fluxo clínico: seleção de aprendiz, habilidades-alvo, configuração de tentativas, nível de ajuda, critério de sucesso, execução de minigame e resumo/histórico. A recomendação é absorver o melhor do Arcade como experiência de aplicação dentro do núcleo de dados e segurança do PsicoPlay, e não manter duas arquiteturas paralelas.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 visão recomendada é um “sistema operacional clínico” modular: cada criança tem um caso, um plano individual versionado, objetivos, programas de ensino, repertórios, preferências e reforçadores; cada sessão materializa uma prescrição operacional do plano; cada tentativa ou evento relevante é registrada de forma auditável; jogos e materiais são apenas interfaces de ensino/avaliação de desempenho ligadas a objetivos; o backend cruza essas evidências com regras clínicas explicitamente aprovadas pelo profissional. A plataforma deve produzir gráficos e alertas de qualidade de dados, mas não deve diagnosticar, prescrever tratamento ou inferir automaticamente a função de comportamentos.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 base clínica deve permitir tanto procedimentos estruturados de ABA quanto formatos naturalísticos/NDBI. O ESDM pode ser suportado por uma camada de rotina de atividade conjunta, escolha da criança, contingências naturais, engajamento e objetivos desenvolvimentais, sem copiar checklists, currículos ou materiais proprietários. A literatura sobre NDBI descreve justamente a combinação de estratégias comportamentais e desenvolvimentais em contextos naturais, com controle compartilhado e contingências naturais [R2]. O estudo clássico do ESDM foi um ensaio randomizado com crianças pequenas e descreve o modelo como baseado em princípios desenvolvimentais e de análise do comportamento [R1].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4" w:lineRule="auto"/>
            </w:pPr>
            <w:r>
              <w:rPr>
                <w:rFonts w:ascii="Liberation Sans" w:hAnsi="Liberation Sans" w:eastAsia="Liberation Sans"/>
                <w:b/>
                <w:color w:val="214B49"/>
                <w:sz w:val="18"/>
              </w:rPr>
              <w:t>Decisão arquitetural central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O registro clínico bruto deve ser imutável e rastreável. Pontuação, domínio, tendência e relatórios são projeções recalculáveis sobre eventos observados — nunca valores clínicos “confiados” ao cliente/jogo. O próprio PsicoPlay já aponta nessa direção com clinical_events append-only, deduplicação por event_id e pontuação recalculada no servidor.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spacing w:before="200" w:after="100" w:line="264" w:lineRule="auto"/>
        <w:widowControl/>
      </w:pPr>
      <w:r>
        <w:t>PARTE I — Diagnóstico do código atual</w:t>
      </w:r>
    </w:p>
    <w:p>
      <w:pPr>
        <w:pStyle w:val="Heading2"/>
        <w:keepNext/>
        <w:spacing w:before="140" w:after="100" w:line="264" w:lineRule="auto"/>
        <w:widowControl/>
      </w:pPr>
      <w:r>
        <w:t>1. Análise comparativa dos dois repositórios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36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Dimensão</w:t>
            </w:r>
          </w:p>
        </w:tc>
        <w:tc>
          <w:tcPr>
            <w:tcW w:type="dxa" w:w="249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PsicoPlayKids</w:t>
            </w:r>
          </w:p>
        </w:tc>
        <w:tc>
          <w:tcPr>
            <w:tcW w:type="dxa" w:w="232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Terapia-Arcade</w:t>
            </w:r>
          </w:p>
        </w:tc>
        <w:tc>
          <w:tcPr>
            <w:tcW w:type="dxa" w:w="300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Direção recomendada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Arquitetura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Monorepo com apps, packages, jogos e Supabase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Aplicação React/Vite única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 como plataforma; Arcade como referência de UX e semântica clínica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Portais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Portal profissional, child-portal e launcher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Biblioteca, histórico e aprendizes na mesma aplicação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Manter separação de superfícies no PsicoPlay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Persistência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Supabase/Postgres + RLS + RPCs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localStorage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Eliminar localStorage como fonte clínica; usar apenas cache efêmero/offline controlado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Sessão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Draft/session modules/activity runs + estado formal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Sessão de minigame local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Adotar lifecycle do PsicoPlay e UX do Arcade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Eventos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Protocolo clínico versionado e clinical_events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Resultado agregado por sessão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Registrar tentativas/eventos brutos e derivar agregados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Jogos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25 diretórios de jogos + manifests/SDK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7 minigames integrados ao app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Catálogo único manifest-driven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Segurança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RLS, threat model, tokens/sandbox em evolução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Sem boundary clínica de produção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Toda execução clínica deve passar pelo runtime seguro do PsicoPlay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Analytics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Agregador e telas de analytics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Acurácia/histórico simples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Unificar em modelo longitudinal por objetivo/skill/prompt/contexto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Maturidade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Base de produto em evolução com backend real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Protótipo de aplicação clínica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Migrar componentes úteis do Arcade para packages/features do monorepo</w:t>
            </w:r>
          </w:p>
        </w:tc>
      </w:tr>
    </w:tbl>
    <w:p>
      <w:pPr>
        <w:spacing w:after="40"/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1.1 Evidências concretas no PsicoPlayKids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Apps separados: apps/child-portal, apps/launcher e apps/psicologist-portal.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Pacotes compartilhados: clinical-types, data-aggregator, design-system, game-window, mobile-foundation, protocol, sdk, session-engine e ui-components.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Camada Supabase com migrações numeradas, testes pgTAP e regras de isolamento entre organizações.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clinical_events já foi desenhada como fonte durável, append-only e idempotente dos eventos emitidos durante atividades.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O protocolo diferencia eventos clínicos de controle e inclui tentativas, uso de prompts, reforços, pausas, conclusão, instrumentos e missões de jogos.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 pontuação de missões já possui implementação manifest-driven e uma implementação equivalente em TypeScript/SQL para reduzir divergência.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Há adaptação por child_session, permitindo transmitir configurações específicas de sessão sem acoplar o jogo ao cadastro inteiro da criança.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Existe documentação de ameaça com riscos de iframe malicioso, app remoto comprometido, token roubado, replay, XSS, alteração de run_id e acesso entre organizações.</w:t>
      </w:r>
    </w:p>
    <w:p>
      <w:pPr>
        <w:pStyle w:val="Heading3"/>
        <w:keepNext/>
        <w:spacing w:before="140" w:after="100" w:line="264" w:lineRule="auto"/>
        <w:widowControl/>
      </w:pPr>
      <w:r>
        <w:t>1.2 Evidências concretas no Terapia-Arcade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Fluxo muito direto de “aprendiz → habilidade → jogo → configuração → aplicação → resumo clínico → histórico”.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GameConfigModal já materializa parâmetros clinicamente úteis: habilidade-alvo, dificuldade, número de tentativas, limite de tempo, quantidade de estímulos, reforço visual, tipo de dica, critério de sucesso e feedback de áudio.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O resumo de sessão separa respostas independentes de respostas com ajuda e permite notas/tags do terapeuta.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O histórico calcula acurácia, tentativas e comparação com sessão anterior, mas hoje a persistência é local e, portanto, inadequada como prontuário ou fonte clínica de produção.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O catálogo contém 7 minigames que cobrem pareamento, linguagem receptiva, memória, categorização, emoções, alternância de turnos e atenção conjunta.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 linguagem visual é mais sóbria que a primeira versão do PsicoPlay: fundo quente, verde clínico, terracota e cartões arredondados, boa referência para o workspace profissional.</w:t>
      </w:r>
    </w:p>
    <w:p>
      <w:pPr>
        <w:pStyle w:val="Heading3"/>
        <w:keepNext/>
        <w:spacing w:before="140" w:after="100" w:line="264" w:lineRule="auto"/>
        <w:widowControl/>
      </w:pPr>
      <w:r>
        <w:t>1.3 Inconsistências e débito documental detectados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0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Achado</w:t>
            </w:r>
          </w:p>
        </w:tc>
        <w:tc>
          <w:tcPr>
            <w:tcW w:type="dxa" w:w="283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283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Ação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README do PsicoPlay descreve Supabase como fase futura, embora o repositório já contenha backend, migrações e RLS.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Novos desenvolvedores podem implementar em cima de premissas antigas.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Reescrever README a partir da arquitetura real e adicionar diagrama de runtime.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Games-Analysis.md declara “23 jogos” no cabeçalho, mas lista 25 diretórios.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Inventário/release pode ficar inconsistente.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Catálogo gerado automaticamente a partir dos manifests.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Threat model ainda descreve partes do runtime de iframe/token como “Phase 2 design only”, enquanto o protocolo e documentação de SDK já mostram peças implementadas.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Risco de falsa sensação de proteção ou release gate indefinido.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Reconciliar documentação, testes e implementação; cada controle deve ter status implemented/tested.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Terapia-Arcade usa localStorage e lógica de comparação simples.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Dados clínicos podem ser perdidos, alterados e não auditáveis.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Migrar lógica para eventos persistidos e projeções server-side.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Há módulos de instrumentos como ASRS, AQ-10, CBI, PHQ-9 e WHO-5 no código.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Licença, população, finalidade, jurisdição e status profissional precisam ser verificados.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Criar registro de instrumentos com licença/versão/status e bloquear uso não aprovado.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2. Visão de produto consolidada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PsicoPlay deve ser entendido como uma plataforma clínica baseada em casos e eventos, com dois modos de trabalho complementares. No modo profissional, organiza plano terapêutico, programas, coleta, supervisão, materiais, análises e documentação. No modo criança/adolescente, apresenta apenas os recursos liberados para aquela sessão ou rotina, com interface acessível, lúdica e de baixa carga administrativa. Entre os dois existe um runtime controlado que fornece ao jogo apenas a configuração mínima da execução, recebe eventos e encerra o acesso quando a sessão termina.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Princípio</w:t>
            </w:r>
          </w:p>
        </w:tc>
        <w:tc>
          <w:tcPr>
            <w:tcW w:type="dxa" w:w="6293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Implicação prática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Profissional no comando</w:t>
            </w:r>
          </w:p>
        </w:tc>
        <w:tc>
          <w:tcPr>
            <w:tcW w:type="dxa" w:w="62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Objetivos, critérios, hierarquias de ajuda e decisões de tratamento são aprovados por profissional habilitado.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Dados antes de dashboards</w:t>
            </w:r>
          </w:p>
        </w:tc>
        <w:tc>
          <w:tcPr>
            <w:tcW w:type="dxa" w:w="62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Nenhum gráfico é confiável se o evento original não tiver definição, origem, versão e contexto.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Jogo é recurso, não diagnóstico</w:t>
            </w:r>
          </w:p>
        </w:tc>
        <w:tc>
          <w:tcPr>
            <w:tcW w:type="dxa" w:w="62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Desempenho em jogo é evidência contextual de uma tarefa; não equivale automaticamente a construto psicológico ou diagnóstico.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Uma habilidade, muitos contextos</w:t>
            </w:r>
          </w:p>
        </w:tc>
        <w:tc>
          <w:tcPr>
            <w:tcW w:type="dxa" w:w="62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 backend deve distinguir aquisição, generalização e manutenção em pessoas, materiais, ambientes e formatos diferentes.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Inclusão por configuração</w:t>
            </w:r>
          </w:p>
        </w:tc>
        <w:tc>
          <w:tcPr>
            <w:tcW w:type="dxa" w:w="62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Idade, gênero, comunicação, motricidade, carga sensorial e preferências devem personalizar a apresentação sem estereótipos.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Privacidade por padrão</w:t>
            </w:r>
          </w:p>
        </w:tc>
        <w:tc>
          <w:tcPr>
            <w:tcW w:type="dxa" w:w="62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Menor exposição de dados, menor tempo de token e menor superfície de acesso possíveis.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Offline sem criar outro prontuário</w:t>
            </w:r>
          </w:p>
        </w:tc>
        <w:tc>
          <w:tcPr>
            <w:tcW w:type="dxa" w:w="62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Cache local só para continuidade operacional; sincronização idempotente e expurgo após confirmação.</w:t>
            </w:r>
          </w:p>
        </w:tc>
      </w:tr>
    </w:tbl>
    <w:p>
      <w:pPr>
        <w:spacing w:after="40"/>
        <w:widowControl/>
      </w:pPr>
    </w:p>
    <w:p>
      <w:pPr>
        <w:pStyle w:val="Heading1"/>
        <w:keepNext/>
        <w:spacing w:before="200" w:after="100" w:line="264" w:lineRule="auto"/>
        <w:widowControl/>
      </w:pPr>
      <w:r>
        <w:t>PARTE II — Fundamentos clínicos e modelo de intervenção</w:t>
      </w:r>
    </w:p>
    <w:p>
      <w:pPr>
        <w:pStyle w:val="Heading2"/>
        <w:keepNext/>
        <w:spacing w:before="140" w:after="100" w:line="264" w:lineRule="auto"/>
        <w:widowControl/>
      </w:pPr>
      <w:r>
        <w:t>3. Fundamentos teóricos e limites clínicos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 plataforma deve ser metodologicamente neutra o suficiente para representar programas ABA estruturados e intervenções naturalísticas, mas clinicamente rigorosa: toda meta precisa de definição observável, procedimento, contexto, forma de medição, critério e histórico de alterações. Revisões contemporâneas de práticas baseadas em evidências para pessoas autistas reforçam que existe um conjunto amplo de práticas focais com evidência, e não uma única técnica universal [R3]. As diretrizes de prática da CASP também organizam ABA como um serviço que envolve avaliação, planejamento, implementação e mensuração de resultados [R4].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Para intervenção precoce naturalística, a arquitetura deve representar características descritas para NDBIs: ensino em contextos naturais, controle compartilhado entre criança e terapeuta, contingências naturais e estratégias comportamentais integradas a habilidades desenvolvimentalmente apropriadas [R2]. O ESDM é um exemplo de intervenção desenvolvimental-comportamental precoce e tem evidência experimental publicada [R1].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EC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4" w:lineRule="auto"/>
            </w:pPr>
            <w:r>
              <w:rPr>
                <w:rFonts w:ascii="Liberation Sans" w:hAnsi="Liberation Sans" w:eastAsia="Liberation Sans"/>
                <w:b/>
                <w:color w:val="B86B4D"/>
                <w:sz w:val="18"/>
              </w:rPr>
              <w:t>Limite de propriedade intelectual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Currículos, checklists de fidelidade, protocolos, escalas e materiais proprietários (incluindo versões protegidas de ESDM, VB-MAPP, ABLLS-R, AFLS ou outros) não devem ser clonados. O PsicoPlay deve oferecer um modelo de dados genérico e permitir módulos licenciados quando houver autorização do detentor de direitos.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3.1 Modelo clínico unificado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3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Entidade clínica</w:t>
            </w:r>
          </w:p>
        </w:tc>
        <w:tc>
          <w:tcPr>
            <w:tcW w:type="dxa" w:w="283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Pergunta que responde</w:t>
            </w:r>
          </w:p>
        </w:tc>
        <w:tc>
          <w:tcPr>
            <w:tcW w:type="dxa" w:w="4309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Exemplo de dado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Caso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Para quem e em qual contexto ocorre o cuidado?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criança, responsáveis, organização, equipe, consentimentos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Plano individual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Quais resultados prioritários foram pactuados?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domínios, objetivos, prioridade, horizonte de revisão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Qual mudança observável é esperada?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“seguir instrução de 2 passos em rotina funcional”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Programa/target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Como o objetivo será ensinado e medido?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SD/antecedente, resposta, prompts, reforço, critério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Sessão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 que foi planejado e efetivamente aplicado hoje?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módulos, ordem, duração, contexto, profissional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Evento clínico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 que aconteceu em um instante observável?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tentativa correta/errada, prompt, latência, reforço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Projeção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Como eventos são resumidos para análise?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taxa, % independente, tendência, apoio usado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Decisão clínica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Que mudança foi aprovada e por quê?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alterar prompt, estímulos, densidade de reforço, critério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4. Plano Individual de Intervenção (PEI/PIC/PII)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plano deve ser um objeto versionado, com estado rascunho → revisão → aprovado → em execução → encerrado. Alterações posteriores não sobrescrevem a versão usada em sessões anteriores. Um objetivo só entra em aplicação quando possuir, no mínimo, definição operacional, domínio, medida, contexto, critério de domínio, critérios de manutenção/generalização e responsável pela aprovação.</w:t>
      </w:r>
    </w:p>
    <w:p>
      <w:pPr>
        <w:pStyle w:val="Heading3"/>
        <w:keepNext/>
        <w:spacing w:before="140" w:after="100" w:line="264" w:lineRule="auto"/>
        <w:widowControl/>
      </w:pPr>
      <w:r>
        <w:t>4.1 Estrutura mínima do plano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Identificação do caso e contexto de atendimento; equipe e papéis; responsáveis e autorizações vigentes.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Caracterização funcional/desenvolvimental relevante, pontos fortes, interesses, comunicação, autonomia e necessidades de acessibilidade.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Domínios prioritários e justificativa clínica; cada domínio ligado a objetivos mensuráveis.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Objetivos de longo prazo e objetivos/targets de curto prazo com baseline.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Procedimentos de ensino permitidos; critérios de prompting, correção de erro, reforço e generalização.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Plano de medição por target; mínimo de oportunidades ou tempo amostral necessário.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Critério de aquisição, manutenção e generalização; regras de reabertura caso o repertório caia.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Riscos, preferências, restrições, itens proibidos/aversivos e adaptações sensoriais/comunicacionais.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Revisões clínicas com autor, data, justificativa, evidências consultadas e aprovação do supervisor quando aplicável.</w:t>
      </w:r>
    </w:p>
    <w:p>
      <w:pPr>
        <w:pStyle w:val="Heading3"/>
        <w:keepNext/>
        <w:spacing w:before="140" w:after="100" w:line="264" w:lineRule="auto"/>
        <w:widowControl/>
      </w:pPr>
      <w:r>
        <w:t>4.2 Status recomendados de objetivo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7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6803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Significado operacional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baseline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Sondagem sem ensino sistemático para estimar repertório atual.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planejado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 definido, ainda não aplicado.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aquisição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Ensino ativo; critério de domínio ainda não alcançado.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generalização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Repertório testado/ensinado em novos estímulos, pessoas ou ambientes.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manutenção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Sondas espaçadas após domínio.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dominado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Critérios aprovados de aquisição + manutenção/generalização atingidos.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pausado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Interrompido com justificativa clínica.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encerrado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Não seguirá ativo; motivo documentado.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5. Módulo de aplicação ABA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workspace de sessão deve permitir coleta rápida sem transformar o profissional em operador de formulário. O profissional seleciona o target e o modo de medição; a interface mostra apenas os controles pertinentes. Toda resposta relevante vira evento com timestamp, run_id/session_id, objetivo/target, contexto, profissional/dispositivo e versão da configuração.</w:t>
      </w:r>
    </w:p>
    <w:p>
      <w:pPr>
        <w:pStyle w:val="Heading3"/>
        <w:keepNext/>
        <w:spacing w:before="140" w:after="100" w:line="264" w:lineRule="auto"/>
        <w:widowControl/>
      </w:pPr>
      <w:r>
        <w:t>5.1 Modos de ensino e coleta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351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Recursos de interface</w:t>
            </w:r>
          </w:p>
        </w:tc>
        <w:tc>
          <w:tcPr>
            <w:tcW w:type="dxa" w:w="368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Dados básicos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DTT / tentativas discretas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botões resposta + prompt + reforço; avanço automático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tentativa, correção, latência, prompt, estímulo, reforço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NET / naturalístico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registro leve por oportunidade durante brincadeira/rotina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oportunidade, resposta espontânea/evocada, contexto, reforço natural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Análise de tarefa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checklist de passos, encadeamento para frente/trás/total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passo, independência, prompt, tempo, conclusão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Sonda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sem feedback programado; marcação rápida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resposta, latência, independência, contexto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Comportamento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contador/cronômetro/intervalos/ABC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frequência, taxa, duração, latência, IRT, intervalos ou ABC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Observação natural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linha do tempo com tags e notas curtas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evento, contexto, observador, mídia opcional com consentimento</w:t>
            </w:r>
          </w:p>
        </w:tc>
      </w:tr>
    </w:tbl>
    <w:p>
      <w:pPr>
        <w:spacing w:after="40"/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5.2 Medidas que o backend deve suportar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Frequência e taxa por unidade de tempo, com exclusão explícita de períodos em que a resposta não era possível.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Duração total, duração média e porcentagem de tempo quando apropriado.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Latência entre antecedente/instrução e início da resposta; intervalo entre respostas (IRT).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Porcentagem de oportunidades e trial-by-trial; separar acerto independente de acerto com suporte.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Registros de intervalo inteiro, intervalo parcial e amostragem momentânea, sempre identificando o método.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Análise de tarefa por passo e sequência, com nível de ajuda por passo.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ABC (antecedente, comportamento, consequência) como registro descritivo, sem inferir automaticamente função comportamental.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Integridade de tratamento/procedimento e concordância interobservadores (IOA) como módulos próprios, não misturados à performance da criança.</w:t>
      </w:r>
    </w:p>
    <w:p>
      <w:pPr>
        <w:pStyle w:val="Heading3"/>
        <w:keepNext/>
        <w:spacing w:before="140" w:after="100" w:line="264" w:lineRule="auto"/>
        <w:widowControl/>
      </w:pPr>
      <w:r>
        <w:t>5.3 Prompting e fading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 plataforma não deve impor uma única hierarquia. Cada programa guarda uma promptHierarchyVersion e pode representar least-to-most, most-to-least, atraso de tempo, modelação, dica gestual, visual, verbal, posicional, física parcial/total, stimulus fading ou outras estratégias aprovadas. O dado essencial é distinguir a resposta independente da resposta que exigiu suporte e registrar a ordem/nível efetivamente usado.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406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Regra recomendada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prompt_level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ID estável, não apenas texto livre.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prompt_latency_ms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Tempo até a ajuda, quando relevante.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prompt_count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Quantidade de ajudas numa tentativa.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independent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Derivado de regra explícita, nunca inferido por ausência de dado.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fading_plan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Regra versionada vinculada ao programa.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prompt_dependency_flag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Alerta de tendência para revisão profissional; não altera o plano sozinho.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6. Reforçadores e avaliação de preferência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reforçador deve ser tratado como variável contextual e dinâmica, não como propriedade fixa da criança. O catálogo precisa registrar preferência, disponibilidade, restrições familiares/sensoriais, saciação, forma de entrega e efetividade observada. A plataforma pode apoiar avaliações de preferência e registrar resultados, mas não deve transformar uma preferência histórica em escolha automática sem confirmação no contexto atual.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5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691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Especificação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Inventário de interesses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itens, atividades, interações sociais, temas, música, movimento, acesso a tecnologia, pausas e reforçadores naturais.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Avaliação de preferência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suportar registro de livre-operante, estímulo único, pareada, MSW/MSWO e relato de cuidadores/profissionais; cálculo transparente.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Sessão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marcar disponibilidade, motivação aparente, itens usados e resposta ao reforço.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Rotação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sinalizar uso repetitivo/saciação provável; profissional decide alternância.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Restrições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alergias, alimentação, conteúdo proibido, privacidade, regras familiares e contraindicações operacionais.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Eficácia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visualizar relação entre reforçador e engajamento/resposta sem afirmar causalidade quando o desenho não permite.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7. Modo NDBI/ESDM e intervenção precoce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modo naturalístico deve mudar a interface de coleta: menos botões, mais oportunidades integradas à brincadeira/rotina. A sessão é organizada por rotinas de atividade conjunta e objetivos embutidos, com ênfase em engajamento, escolha, iniciativa e reforço naturalmente relacionado à atividade. Isso é coerente com a descrição das NDBIs de ensino em ambientes naturais com controle compartilhado e contingências naturais [R2].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6690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Campos sugeridos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Rotina de atividade conjunta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atividade, parceiro, materiais, início/fim, objetivo(s), nível de engajamento, turnos.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Oportunidade natural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objetivo, antecedente natural, iniciativa da criança, resposta, apoio, consequência natural.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Escolha/interesse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opções apresentadas, escolha, mudança de interesse, intensidade de engajamento.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Comunicação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modalidade: fala, gesto, AAC, imagem, sinal; espontânea/evocada.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Atenção conjunta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iniciar/responder, olhar/alternância, apontar/mostrar, compartilhamento afetivo conforme definição do programa.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Fidelidade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checklist genérico do procedimento local; instrumentos oficiais somente quando licenciados.</w:t>
            </w:r>
          </w:p>
        </w:tc>
      </w:tr>
    </w:tbl>
    <w:p>
      <w:pPr>
        <w:spacing w:after="4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EC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4" w:lineRule="auto"/>
            </w:pPr>
            <w:r>
              <w:rPr>
                <w:rFonts w:ascii="Liberation Sans" w:hAnsi="Liberation Sans" w:eastAsia="Liberation Sans"/>
                <w:b/>
                <w:color w:val="B86B4D"/>
                <w:sz w:val="18"/>
              </w:rPr>
              <w:t>ESDM dentro do produto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A melhor implementação é uma “engine NDBI/rotina naturalística” genérica e configurável. Uma edição denominada formalmente ESDM deve existir apenas se a equipe clínica e o licenciamento permitirem uso do conteúdo e critérios oficiais.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spacing w:before="200" w:after="100" w:line="264" w:lineRule="auto"/>
        <w:widowControl/>
      </w:pPr>
      <w:r>
        <w:t>PARTE III — Jogos, materiais e experiência da criança</w:t>
      </w:r>
    </w:p>
    <w:p>
      <w:pPr>
        <w:pStyle w:val="Heading2"/>
        <w:keepNext/>
        <w:spacing w:before="140" w:after="100" w:line="264" w:lineRule="auto"/>
        <w:widowControl/>
      </w:pPr>
      <w:r>
        <w:t>8. Catálogo atual de jogos no PsicoPlay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 árvore do repositório contém 25 jogos. A maior parte do portfólio atual concentra-se aproximadamente entre 3 e 12 anos, com Missão Independência avançando para adolescência. Portanto, a meta de “todas as idades” ainda é uma visão de produto, não uma realidade do catálogo atual. A expansão adolescente/adulta deve ser explícita no roadmap.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Jogo</w:t>
            </w:r>
          </w:p>
        </w:tc>
        <w:tc>
          <w:tcPr>
            <w:tcW w:type="dxa" w:w="2438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Foco funcional</w:t>
            </w:r>
          </w:p>
        </w:tc>
        <w:tc>
          <w:tcPr>
            <w:tcW w:type="dxa" w:w="119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Faixa atual aprox.</w:t>
            </w:r>
          </w:p>
        </w:tc>
        <w:tc>
          <w:tcPr>
            <w:tcW w:type="dxa" w:w="323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Direção clínica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Caça ao Alvo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busca visual, atenção a detalhes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6–10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Manter; parametrizar densidade/distratores.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Caminho do Dedo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coordenação visuomotora, pré-escrita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4–7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Manter; incluir acessibilidade motora.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Construtor de Formas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raciocínio espacial, construção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5–10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Manter; separar modo livre de tarefas medidas.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ENCAIXA!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pareamento, motricidade, solução de problemas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4–8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Boa referência de acessibilidade.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Encontre o Igual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discriminação visual, pareamento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3–6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Migrar semântica do Arcade para manifest comum.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Escolha pela Instrução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linguagem receptiva, instruções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4–8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Permitir áudio gravado e AAC.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Farol do Foco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atenção sustentada/seletiva, Go/No-Go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7–12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Não rotular como teste neuropsicológico.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História em Ordem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sequenciamento/narrativa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5–9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Adicionar linguagem e nível de abstração.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Jardim das Causas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causa-efeito/raciocínio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—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Definir faixa/objetivos no manifest.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Massinha Viva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exploração tátil, criatividade, motricidade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4–8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Modo livre não deve gerar “acurácia”.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Memória dos Animais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memória visual/trabalho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4–8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Métrica contextual, não construto diagnóstico.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Mercadinho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habilidades funcionais, planejamento, numeracia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5–10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Excelente ponte para generalização.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Minha Vez / Sua Vez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turnos, espera, reciprocidade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4–7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Registrar espontaneidade e suporte.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Missão Independência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autonomia e habilidades de vida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12–18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Base para expansão adolescente/adulta.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Mochila Mental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memória de trabalho/interferência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7–11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Evitar nomenclatura de avaliação cognitiva formal.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Organize Categoria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categorização semântica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4–7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Parametrizar categorias culturalmente adequadas.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Pequeno Chef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sequenciamento e instruções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5–9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Conectar com análise de tarefa e vida diária.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Quem Está Sentindo?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emoções/contexto social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5–9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Evitar feedback que imponha uma única leitura emocional em cenários ambíguos.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Reconhecendo Emoções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identificação de emoção em cenários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4–8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Mesma cautela; diversificar rostos/culturas.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Regula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estratégias de regulação/interocepção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6–12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Oferecer escolha e não tratar estratégia como universal.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Semáforo — Controle Inibitório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inibição de resposta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6–12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Métrica de tarefa, não diagnóstico.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Separa e Guarda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classificação/flexibilidade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5–9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Adicionar generalização para objetos reais.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Siga o Olhar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atenção conjunta/referência social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3–6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Evitar exigir contato ocular como objetivo universal; focar orientação funcional compartilhada.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Torre Espelho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planejamento espacial/motricidade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6–10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Suportar modo copiar/construir/turnos.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Troca-Troca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flexibilidade cognitiva/task switching</w:t>
            </w:r>
          </w:p>
        </w:tc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6–10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Registrar regras e trocas; não usar como teste psicométrico.</w:t>
            </w:r>
          </w:p>
        </w:tc>
      </w:tr>
    </w:tbl>
    <w:p>
      <w:pPr>
        <w:spacing w:after="40"/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8.1 Terapia-Arcade como fonte de UX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Os sete módulos do Terapia-Arcade sobrepõem habilidades já presentes no PsicoPlay e, inclusive, a árvore do PsicoPlay contém uma migração denominada 0035_seed_therapy_arcade_games.sql, sinalizando a intenção de incorporar esse catálogo. A melhor estratégia é não duplicar jogos: transformar cada módulo em AppManifest/GameManifest, usar o mesmo SDK, o mesmo event envelope e o mesmo sistema de configuração da sessão.</w:t>
      </w:r>
    </w:p>
    <w:p>
      <w:pPr>
        <w:pStyle w:val="Heading2"/>
        <w:keepNext/>
        <w:spacing w:before="140" w:after="100" w:line="264" w:lineRule="auto"/>
        <w:widowControl/>
      </w:pPr>
      <w:r>
        <w:t>9. Taxonomia por nível de brincar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Para cumprir a visão de cobrir diferentes níveis de brincar sem transformar o nível de brincar em “rótulo” da criança, o catálogo deve usar uma taxonomia de descoberta. Uma mesma criança pode acessar níveis diferentes conforme contexto, interesse e objetivo.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Nível de experiência</w:t>
            </w:r>
          </w:p>
        </w:tc>
        <w:tc>
          <w:tcPr>
            <w:tcW w:type="dxa" w:w="351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Exemplos de mecânica</w:t>
            </w:r>
          </w:p>
        </w:tc>
        <w:tc>
          <w:tcPr>
            <w:tcW w:type="dxa" w:w="334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Dados clínicos possíveis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Regulação/engajamento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causa-efeito sensorial, ritmo, pausa, escolha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tempo engajado, iniciativa, tolerância, preferência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Exploratório/causa-efeito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tocar, arrastar, pressionar, transformar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ações espontâneas, variação, atenção ao resultado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Funcional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usar objeto/recurso conforme função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sequência, ajuda, independência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Construtivo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montar, encaixar, empilhar, combinar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planejamento, precisão, persistência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Simbólico/pretend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faz-de-conta, personagens, cenários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variedade de ações, flexibilidade, linguagem espontânea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Recíproco/turnos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minha vez/sua vez, imitação, troca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turnos, espera, iniciação/resposta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Cooperativo/regras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missão em dupla, regras que mudam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cooperação, negociação, flexibilidade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Funcional/comunitário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mercado, transporte, rotina, trabalho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passos, segurança, generalização, autonomia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10. Novos jogos e experiências recomendadas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Proposta</w:t>
            </w:r>
          </w:p>
        </w:tc>
        <w:tc>
          <w:tcPr>
            <w:tcW w:type="dxa" w:w="124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Público</w:t>
            </w:r>
          </w:p>
        </w:tc>
        <w:tc>
          <w:tcPr>
            <w:tcW w:type="dxa" w:w="2268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Alvo</w:t>
            </w:r>
          </w:p>
        </w:tc>
        <w:tc>
          <w:tcPr>
            <w:tcW w:type="dxa" w:w="334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Princípio de design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Causa e Efeito — Primeiro Toque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2–6 / suporte amplo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engajamento, escolha, causa-efeito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microinterações sem erro, switch/touch, reforço imediato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Imita Comigo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2–8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imitação motora/ações com objetos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terapeuta escolhe modelo; vídeo apenas com conteúdo validado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Mostra Pra Mim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2–7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atenção compartilhada e comunicação funcional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apontar/mostrar/AAC sem obrigatoriedade de contato ocular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Quero Pedir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3+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comunicação funcional/mandos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fala, símbolo, gesto e AAC; escolhas reais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Brinca de...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3–10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brincar simbólico e variação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roteiros abertos, personagens customizáveis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Conversas em Contexto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9–18+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pragmática e resolução social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cenários com múltiplas respostas aceitáveis; reflexão guiada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Planeja Meu Dia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10–adulto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planejamento e função executiva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agenda, prioridades, imprevistos, ajuda graduada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Dinheiro na Vida Real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10–adulto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numeracia funcional e decisão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orçamento, troco, compra, segurança digital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Rotas e Transporte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12–adulto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mobilidade/autonomia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planejar rota, pedir ajuda, segurança; sem geolocalização real da criança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Trabalho em Etapas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14–adulto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habilidades vocacionais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checklists, instruções, qualidade, pedir esclarecimento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Casa em Ordem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8–adulto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tarefas domésticas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análise de tarefa, rotinas e generalização offline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Regulação Personalizada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6–adulto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reconhecer sinais e escolher estratégia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biblioteca de estratégias aprovada pela equipe; autopercepção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Desafio de Flexibilidade Social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8–adulto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mudança de plano/tolerância ao imprevisto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situações graduadas e opção de pausa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Cooperar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5–adulto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atividade conjunta/cooperativa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jogo em dupla local, sem ranking global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Comunicação por AAC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todas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uso funcional de comunicação aumentativa</w:t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integração com vocabulário/símbolos licenciados ou do usuário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11. Biblioteca de materiais terapêuticos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Agenda visual, primeiro–depois, quadro de escolhas, quadro de reforço, rotinas passo a passo e checklists.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Cartões de instrução, categorização, pareamento, emoções/contextos, sequências, histórias e problemas sociais.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Gerador de materiais imprimíveis com versão, autor, objetivo, faixa de uso, acessibilidade e fonte/licença de imagens.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Biblioteca privada por organização + biblioteca pessoal do profissional + catálogo PsicoPlay curado.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Importação de PDF/imagem/áudio com classificação e permissões; não indexar conteúdo do caso em catálogo público.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Materiais podem ser associados a objetivo, programa e sessão; uso fica registrado como contexto do dado.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Editor deve permitir figuras próprias e símbolos de comunicação apenas quando houver direito de uso/licença.</w:t>
      </w:r>
    </w:p>
    <w:p>
      <w:pPr>
        <w:pStyle w:val="Heading2"/>
        <w:keepNext/>
        <w:spacing w:before="140" w:after="100" w:line="264" w:lineRule="auto"/>
        <w:widowControl/>
      </w:pPr>
      <w:r>
        <w:t>12. Portal da criança/adolescente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portal infantil não deve reproduzir um prontuário. Deve funcionar como launcher/kiosk: identificação mínima, atividades liberadas, configurações sensoriais e retorno claro ao profissional. Para adolescentes, a estética precisa evitar infantilização, permitir avatares/temas neutros e dar visibilidade ao próprio progresso quando isso for clinicamente apropriado.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Tela</w:t>
            </w:r>
          </w:p>
        </w:tc>
        <w:tc>
          <w:tcPr>
            <w:tcW w:type="dxa" w:w="402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323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Entrada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PIN/QR temporário ou sessão iniciada pelo profissional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não expor nome completo/diagnóstico na tela inicial.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Hoje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atividades liberadas, rotina e escolha permitida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somente recursos autorizados para a child_session.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Jogo/atividade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full-screen, controles grandes, áudio/legendas, pausa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SDK em iframe/sandbox ou runtime isolado.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Conquista pessoal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feedback sobre esforço/progresso da própria pessoa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sem leaderboard global ou comparação clínica pública.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Preferências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som, movimento, contraste, tamanho, idioma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configurações separadas de metas clínicas.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Encerramento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resumo simples e retorno ao adulto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não exibir interpretações clínicas sensíveis.</w:t>
            </w:r>
          </w:p>
        </w:tc>
      </w:tr>
    </w:tbl>
    <w:p>
      <w:pPr>
        <w:spacing w:after="4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EC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4" w:lineRule="auto"/>
            </w:pPr>
            <w:r>
              <w:rPr>
                <w:rFonts w:ascii="Liberation Sans" w:hAnsi="Liberation Sans" w:eastAsia="Liberation Sans"/>
                <w:b/>
                <w:color w:val="B86B4D"/>
                <w:sz w:val="18"/>
              </w:rPr>
              <w:t>Recomendação de produto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Remover qualquer leaderboard global do desenho de produção clínica. Ele cria comparação desnecessária, risco de privacidade e incentivos incompatíveis com objetivos individualizados. Se gamificação for útil, usar conquistas pessoais, coleções e metas configuráveis.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13. Acessibilidade e desenho inclusivo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padrão mínimo de interface web deve mirar WCAG 2.2 AA. A versão 2.2 é Recomendação W3C e acrescenta critérios relevantes para pessoas com limitações visuais, físicas e cognitivas, inclusive uso por toque [R11]. Para PsicoPlay, acessibilidade deve ser recurso clínico de primeira classe, não correção posterior.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Alvos de toque de pelo menos 44×44 px como baseline interno; espaçamento suficiente para evitar toques acidentais.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Navegação por teclado e foco visível; suporte a switch scanning como evolução planejada.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Equivalente visual para sinais de áudio e equivalente auditivo/legível para instruções críticas.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prefers-reduced-motion, modo de baixa estimulação, controle de volume e desativação de confete/animações.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Contraste, tamanho de fonte e densidade de estímulos configuráveis por sessão.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Nunca depender apenas de cor para acerto/erro; usar ícone, texto ou som configurável.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Compatibilidade com AAC e comunicação multimodal, sem assumir fala oral como padrão.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Conteúdo com diversidade de corpos, tons de pele, famílias, gêneros e contextos; evitar estereótipos.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Atenção conjunta não deve ser reduzida a “forçar contato ocular”; objetivos devem ser funcionais e definidos individualmente.</w:t>
      </w:r>
    </w:p>
    <w:p>
      <w:pPr>
        <w:pStyle w:val="Heading1"/>
        <w:keepNext/>
        <w:spacing w:before="200" w:after="100" w:line="264" w:lineRule="auto"/>
        <w:widowControl/>
      </w:pPr>
      <w:r>
        <w:t>PARTE IV — Workspace profissional, telas e design system</w:t>
      </w:r>
    </w:p>
    <w:p>
      <w:pPr>
        <w:pStyle w:val="Heading2"/>
        <w:keepNext/>
        <w:spacing w:before="140" w:after="100" w:line="264" w:lineRule="auto"/>
        <w:widowControl/>
      </w:pPr>
      <w:r>
        <w:t>14. Arquitetura de informação do profissional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Navegação primária</w:t>
            </w:r>
          </w:p>
        </w:tc>
        <w:tc>
          <w:tcPr>
            <w:tcW w:type="dxa" w:w="6690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Subáreas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Início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agenda operacional, sessões recentes, pendências, alertas de dados e revisões de plano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Casos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lista, filtros, equipe, permissões, consentimentos, documentos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Plano individual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domínios, objetivos, programas, revisão, histórico de versões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Sessão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planejar, aplicar, registrar, lançar jogos/materiais, finalizar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Dados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gráficos por objetivo/programa, generalização, manutenção, comportamento, prompts, reforçadores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Recursos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jogos, materiais, presets, biblioteca clínica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Supervisão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caseload, integridade, IOA, revisões, comentários, aprovações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Relatórios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sessão, progresso, plano, família, auditoria, exportação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Organização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equipe, papéis, unidades, configurações, segurança e billing se existir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15. Tela de caso — “single patient workspace”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Ao entrar em um caso, o usuário deve permanecer no mesmo contexto até escolher outra criança/adolescente. O cabeçalho fixo mostra apenas identificadores necessários, alertas essenciais e status do plano. A navegação secundária do caso: Visão geral | Plano | Sessões | Dados | Reforçadores | Comportamentos | Documentos | Equipe | Responsáveis/consentimentos.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Zona</w:t>
            </w:r>
          </w:p>
        </w:tc>
        <w:tc>
          <w:tcPr>
            <w:tcW w:type="dxa" w:w="3458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3402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Tablet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Sidebar global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220–260 px, colapsável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drawer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Cabeçalho do caso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nome preferido + avatar opcional + idade + plano/revisão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compacto, 2 linhas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Conteúdo central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máx. 1200–1440 px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100% largura com cards empilhados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Painel contextual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opcional: notas/objetivos ativos/atalhos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bottom sheet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Ações clínicas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botões persistentes “Iniciar sessão”, “Adicionar dado”, “Revisar plano”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barra inferior contextual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16. Session Workspace — tela crítica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 sessão deve abrir num modo operacional de baixa fricção. À esquerda/alto: sequência dos módulos. Centro: target/atividade atual. Painel lateral: prompt, reforço, notas e timer. A troca de programa deve exigir um toque; ações destrutivas ou encerramento, confirmação. Se a conexão cair, a interface continua registrando uma fila local limitada e mostra estado “offline — aguardando sincronização”, sem fingir que o servidor recebeu.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973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Comportamento da tela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Preparação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revisar objetivos, selecionar módulos, adaptar parâmetros, verificar reforçadores e restrições.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Em execução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cronômetro, eventos rápidos, troca de target, launcher de jogo, notas rápidas.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Pausada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eventos desabilitados exceto observação/nota; motivo opcional.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Offline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fila local por run_id, indicador visível, sem criar “nova sessão” paralela.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Finalização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validar dados incompletos, incluir observação, assinar/confirmar autoria, concluir.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Pós-sessão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resumo derivado + sugestões de revisão como alertas, nunca alteração automática.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17. Direção visual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design profissional deve partir da sobriedade do Terapia-Arcade: fundo marfim quente (#FAF9F6), verde clínico aproximado (#5C8D89) e terracota de destaque (#D68C71), com tipografia legível, bordas suaves e pouco ruído. A área infantil pode ter temas lúdicos por idade e preferência, mas deve usar o mesmo sistema de componentes e tokens de acessibilidade. “Lúdico” não significa excesso de estímulos.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Cards com raio moderado, sombras mínimas e hierarquia por espaço/tipografia, não por gradientes constantes.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Cores sem significado clínico ambíguo: verde não deve significar automaticamente “bom comportamento”; usar rótulos objetivos.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Gráficos com legendas, valores acessíveis e opção de tabela de dados.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Componentes compartilhados no package design-system/ui-components; evitar estilos locais divergentes entre jogos.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Temas infantis/adolescentes devem mudar aparência, não a semântica de dados.</w:t>
      </w:r>
    </w:p>
    <w:p>
      <w:pPr>
        <w:pStyle w:val="Heading1"/>
        <w:keepNext/>
        <w:spacing w:before="200" w:after="100" w:line="264" w:lineRule="auto"/>
        <w:widowControl/>
      </w:pPr>
      <w:r>
        <w:t>PARTE V — Backend, modelo de dados e cruzamento clínico</w:t>
      </w:r>
    </w:p>
    <w:p>
      <w:pPr>
        <w:pStyle w:val="Heading2"/>
        <w:keepNext/>
        <w:spacing w:before="140" w:after="100" w:line="264" w:lineRule="auto"/>
        <w:widowControl/>
      </w:pPr>
      <w:r>
        <w:t>18. Arquitetura recomendada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 arquitetura atual em Supabase/Postgres é adequada como base, desde que a lógica clínica crítica permaneça server-side e versionada. O browser não deve possuir credenciais administrativas. O próprio Supabase recomenda combinar Auth e RLS e manter credenciais que bypassam RLS exclusivamente no servidor [R14].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6F5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214B49"/>
                <w:sz w:val="15"/>
              </w:rPr>
              <w:t>PROFISSIONAL / ORGANIZAÇÃO                       CRIANÇA / ADOLESCENTE</w:t>
              <w:br/>
              <w:t xml:space="preserve">        │                                                    │</w:t>
              <w:br/>
              <w:t xml:space="preserve">        ▼                                                    ▼</w:t>
              <w:br/>
              <w:t xml:space="preserve"> Portal profissional ───────────────┐              Child portal / kiosk</w:t>
              <w:br/>
              <w:t xml:space="preserve">        │                           │                        │</w:t>
              <w:br/>
              <w:t xml:space="preserve">        │ Auth + RLS                │                        │ sessão efêmera</w:t>
              <w:br/>
              <w:t xml:space="preserve">        ▼                           │                        ▼</w:t>
              <w:br/>
              <w:t xml:space="preserve">  API/RPC/Edge Functions            │                 ActivityFrame</w:t>
              <w:br/>
              <w:t xml:space="preserve">        │                           │                  sandbox/origin</w:t>
              <w:br/>
              <w:t xml:space="preserve">        ├──── Configuração ─────────┴───────────────► Jogo/Recurso</w:t>
              <w:br/>
              <w:t xml:space="preserve">        │                                                    │</w:t>
              <w:br/>
              <w:t xml:space="preserve">        │                                  eventos versionados│</w:t>
              <w:br/>
              <w:t xml:space="preserve">        ◄────────────────────────────────────────────────────┘</w:t>
              <w:br/>
              <w:t xml:space="preserve">        │</w:t>
              <w:br/>
              <w:t xml:space="preserve">        ▼</w:t>
              <w:br/>
              <w:t xml:space="preserve"> Postgres/Supabase</w:t>
              <w:br/>
              <w:t xml:space="preserve">  ├─ dados operacionais versionados</w:t>
              <w:br/>
              <w:t xml:space="preserve">  ├─ clinical_events (append-only)</w:t>
              <w:br/>
              <w:t xml:space="preserve">  ├─ manifests/app_versions</w:t>
              <w:br/>
              <w:t xml:space="preserve">  ├─ audit/access logs</w:t>
              <w:br/>
              <w:t xml:space="preserve">  └─ projections/materialized views</w:t>
              <w:br/>
              <w:t xml:space="preserve">        │</w:t>
              <w:br/>
              <w:t xml:space="preserve">        ▼</w:t>
              <w:br/>
              <w:t xml:space="preserve"> Data Aggregator / Rules Engine</w:t>
              <w:br/>
              <w:t xml:space="preserve">  ├─ métricas por target</w:t>
              <w:br/>
              <w:t xml:space="preserve">  ├─ aquisição / generalização / manutenção</w:t>
              <w:br/>
              <w:t xml:space="preserve">  ├─ prompt &amp; reforçadores</w:t>
              <w:br/>
              <w:t xml:space="preserve">  └─ relatórios e alertas revisáveis</w:t>
              <w:br/>
            </w:r>
          </w:p>
        </w:tc>
      </w:tr>
    </w:tbl>
    <w:p>
      <w:pPr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18.1 Fonte de verdade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Separar configuração e observação. Objetivos, programas, manifests e regras são dados operacionais versionados. O que ocorreu durante uma sessão entra como evento imutável. Dashboards e relatórios são projeções. Essa separação permite corrigir uma fórmula de agregação sem reescrever o histórico bruto, além de manter rastreabilidade de como um valor foi obtido.</w:t>
      </w:r>
    </w:p>
    <w:p>
      <w:pPr>
        <w:pStyle w:val="Heading3"/>
        <w:keepNext/>
        <w:spacing w:before="140" w:after="100" w:line="264" w:lineRule="auto"/>
        <w:widowControl/>
      </w:pPr>
      <w:r>
        <w:t>18.2 Event sourcing clínico pragmático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Regra</w:t>
            </w:r>
          </w:p>
        </w:tc>
        <w:tc>
          <w:tcPr>
            <w:tcW w:type="dxa" w:w="6860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Especificação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Imutabilidade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clinical_events não sofre UPDATE/DELETE rotineiro; correções são novos eventos/nota de retificação conforme política.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Idempotência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event_id único por run; retries não duplicam tentativa.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Ordem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occurred_at + sequence; received_at separado para detectar atraso/offline.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Proveniência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app_id, app_version, protocol_version, run_id, professional/session context.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Payload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schema por event_type e versão; validação server-side.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Servidor confiável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pontuação, classificação e agregações clínicas recalculadas no backend.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Evolução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novos eventos adicionados sem quebrar leitores; protocol compatibility range no manifest.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19. Modelo de dados proposto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Tabela/coleção</w:t>
            </w:r>
          </w:p>
        </w:tc>
        <w:tc>
          <w:tcPr>
            <w:tcW w:type="dxa" w:w="266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Função</w:t>
            </w:r>
          </w:p>
        </w:tc>
        <w:tc>
          <w:tcPr>
            <w:tcW w:type="dxa" w:w="3742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Campos centrais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organizations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tenant/unidade clínica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id, name, region, settings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organization_memberships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vínculo usuário-organização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user_id, role, status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professional_profiles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perfil profissional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user_id, nome, registro profissional quando aplicável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children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identidade mínima do assistido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id, org_id, display_name, birth_date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guardians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responsáveis e contatos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id, relação, dados mínimos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guardian_child_links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vínculo e autoridade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guardian_id, child_id, authority_scope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consent_records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consentimentos/avisos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purpose, legal_basis, version, signed_at, revoked_at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professional_child_assignments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acesso ao caso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permissions granulares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clinical_cases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contexto do cuidado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status, team, start/end, tags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care_plans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plano individual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version, status, valid_from/to, approved_by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goals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objetivos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domain, definition, priority, baseline, criteria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programs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procedimento por objetivo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teaching_mode, measurement, prompt hierarchy, reinforcement plan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program_targets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targets/estímulos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SD, response definition, stimuli, difficulty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mastery_rules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regra de domínio versionada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min_trials/sessions, independence, threshold, maintenance/generalization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sessions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episódio clínico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child, created_by, status, context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session_modules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sequência planejada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app/program/resource, parameters, position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activity_runs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execução de módulo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status, timestamps, version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clinical_events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observação imutável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event_id, type, payload, occurred_at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behavior_definitions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definições operacionais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topography, include/exclude, measurement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reinforcers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inventário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category, preferences, restrictions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preference_assessments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procedimento e resultado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method, items, selections, context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generalization_probes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sondas por contexto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goal, person/material/environment, result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maintenance_checks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sondas pós-domínio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goal, due_at, result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integrity_checks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fidelidade de procedimento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protocol, scorer, percent/notes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ioa_samples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concordância interobservador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measure_type, observer_pair, result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app_registry/app_versions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catálogo e runtime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manifest, origin, version, status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child_resource_permissions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recursos liberados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child, app/resource, scope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child_sessions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sessão efêmera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token_hash, expires_at, adaptation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documents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documentos gerados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type, version, author, status, hash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audit_log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quem acessou/mudou o quê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actor, action, object, timestamp, IP/device minimizados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data_subject_requests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direitos LGPD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type, status, deadline, resolution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security_incidents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governança de incidentes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4"/>
              </w:rPr>
              <w:t>severity, data_categories, decisions, notifications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20. Ontologia de habilidades — chave para cruzar dados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Atualmente jogos e recursos usam strings de habilidade. Isso deve evoluir para uma ontologia versionada. Cada skill_id canônico possui nome, descrição operacional, domínio, sinônimos, faixa/contextos e relações com outras habilidades. Apps podem declarar múltiplas skills, mas o programa clínico escolhe qual skill/goal está realmente sendo trabalhado naquela sessão. Isso evita concluir, por exemplo, que “Memória dos Animais” mede memória de trabalho do mesmo modo que um instrumento padronizado.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7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6803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Exemplo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Domínio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comunicação social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Skill canônica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atenção compartilhada — responder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 individual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responder à orientação compartilhada em rotina de brincadeira em 4/5 oportunidades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Target/contexto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brinquedo preferido + terapeuta; depois responsável e escola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Atividade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Siga o Olhar, brincadeira natural, livro, jogo cooperativo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Eventos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orientação apresentada, resposta, prompt, latência, consequência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21. Engine de domínio, aquisição e tendência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Não existe um critério de “80%” universal. O sistema deve permitir que cada programa use uma regra versionada e aprovada. Uma regra pode combinar número mínimo de oportunidades, porcentagem de respostas independentes, número de sessões/dias, variabilidade de estímulos, manutenção e generalização. O motor apenas avalia a regra; quem define e aprova a regra é o profissional/supervisor.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Saída</w:t>
            </w:r>
          </w:p>
        </w:tc>
        <w:tc>
          <w:tcPr>
            <w:tcW w:type="dxa" w:w="3402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Como calcular</w:t>
            </w:r>
          </w:p>
        </w:tc>
        <w:tc>
          <w:tcPr>
            <w:tcW w:type="dxa" w:w="385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Proteção contra interpretação indevida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Acurácia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corretas / oportunidades elegíveis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separar independente vs. com prompt.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Independência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respostas que satisfazem a regra de independência / oportunidades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hierarquia de prompt versionada.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Taxa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eventos / tempo de oportunidade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não usar tempo total se comportamento não podia ocorrer.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Latência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mediana e distribuição; média opcional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mostrar outliers e amostra.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Tendência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slope/mediana móvel por janela definida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não rotular “regressão” com amostra insuficiente.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Domínio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avaliação da mastery_rule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regra e versão visíveis no relatório.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Generalização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sondas em contextos distintos definidos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não misturar com ensino do mesmo contexto.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Manutenção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sondas após intervalo especificado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mostrar tempo desde domínio.</w:t>
            </w:r>
          </w:p>
        </w:tc>
      </w:tr>
    </w:tbl>
    <w:p>
      <w:pPr>
        <w:spacing w:after="40"/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21.1 Cruzamentos prioritários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Objetivo × sessão × contexto: evolução real de um objetivo em diferentes ambientes e profissionais.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Objetivo × prompt: verificar se desempenho cresce enquanto suporte diminui.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Reforçador × engajamento/resposta: descrever padrões e preferência contextual, sem inferir causalidade automaticamente.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Jogo × objetivo: comparar desempenho no jogo com sondas fora da tecnologia para avaliar generalização.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Profissional × integridade de procedimento: supervisão da fidelidade, nunca ranking de equipe.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Comportamento × contexto: padrões descritivos de antecedente/consequência para subsidiar avaliação funcional humana.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Dados clínicos × qualidade do dado: sessões com amostra baixa, eventos faltantes, timestamps inconsistentes ou elevado offline lag devem ser sinalizadas.</w:t>
      </w:r>
    </w:p>
    <w:p>
      <w:pPr>
        <w:pStyle w:val="Heading2"/>
        <w:keepNext/>
        <w:spacing w:before="140" w:after="100" w:line="264" w:lineRule="auto"/>
        <w:widowControl/>
      </w:pPr>
      <w:r>
        <w:t>22. Contrato de eventos do SDK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protocolo existente é uma boa base e deve ser formalizado como contrato público versionado para todos os jogos. O game não recebe prontuário, diagnóstico ou dados desnecessários. Recebe run_id, app/version, locale, dificuldade, parâmetros necessários, capabilities e token efêmero. Emite eventos observacionais e recebe ACK/NACK.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Evento</w:t>
            </w:r>
          </w:p>
        </w:tc>
        <w:tc>
          <w:tcPr>
            <w:tcW w:type="dxa" w:w="289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Quando emitir</w:t>
            </w:r>
          </w:p>
        </w:tc>
        <w:tc>
          <w:tcPr>
            <w:tcW w:type="dxa" w:w="3798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Payload mínimo sugerido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SESSION_STARTED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atividade pronta e iniciada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config_version, started_at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TRIAL_STARTED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oportunidade/tentativa iniciou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trial_id, target_id, stimulus_ids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TRIAL_COMPLETED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resposta encerrada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correct/response, latency_ms, prompt, response metadata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PROMPT_USED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ajuda aplicada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type, level, latency_ms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SUPPORT_REQUESTED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usuário solicita ajuda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support_type, context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REWARD_TRIGGERED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feedback/reforço apresentado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reinforcer_id/type, contingent_on_event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LEVEL_COMPLETED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nível/fase finalizado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level_id, raw completion data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GAME_MISSION_COMPLETE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missão funcional concluída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passos, hints, tempo, suporte autorrelatado quando aplicável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SESSION_PAUSED/RESUMED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controle de sessão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reason opcional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SESSION_COMPLETED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execução terminada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raw summary; servidor calcula scoring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ERROR_OCCURRED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falha relevante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error_code, recoverable, no sensitive stack dump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APP_CLOSED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saída sem conclusão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reason/context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23. Offline-first controlado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EventQueue local com event_id determinístico/UUID, sequence e run_id; flush em lote.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Retry com idempotência; servidor responde ACK dos IDs persistidos.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Cache local não deve conter ficha completa, documentos ou dados desnecessários do caso.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Token da child_session expira e é revogável; TTL deve refletir duração real da sessão, não o máximo permitido.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Após sincronização confirmada e encerramento, remover fila e artefatos temporários do dispositivo.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Mostrar ao profissional se uma sessão terminou com eventos ainda pendentes; impedir relatório “final” até reconciliação ou registrar exceção.</w:t>
      </w:r>
    </w:p>
    <w:p>
      <w:pPr>
        <w:pStyle w:val="Heading1"/>
        <w:keepNext/>
        <w:spacing w:before="200" w:after="100" w:line="264" w:lineRule="auto"/>
        <w:widowControl/>
      </w:pPr>
      <w:r>
        <w:t>PARTE VI — Segurança, LGPD e governança clínica</w:t>
      </w:r>
    </w:p>
    <w:p>
      <w:pPr>
        <w:pStyle w:val="Heading2"/>
        <w:keepNext/>
        <w:spacing w:before="140" w:after="100" w:line="264" w:lineRule="auto"/>
        <w:widowControl/>
      </w:pPr>
      <w:r>
        <w:t>24. Classificação dos dados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Dados de saúde são dados pessoais sensíveis na LGPD. A lei também estabelece princípios como finalidade, necessidade, transparência, segurança, prevenção e responsabilização [R7]. Como a plataforma atende crianças e adolescentes, a operação deve considerar adicionalmente seu melhor interesse; a ANPD esclarece que as hipóteses legais da LGPD podem ser aplicáveis, mas o melhor interesse deve prevalecer na análise concreta [R8].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288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Exemplos</w:t>
            </w:r>
          </w:p>
        </w:tc>
        <w:tc>
          <w:tcPr>
            <w:tcW w:type="dxa" w:w="385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Tratamento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Pública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site institucional, catálogo público sem dados de caso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CDN/cache normal; sem PII.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Interna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configurações de produto, documentação interna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controle por organização/equipe.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Confidencial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cadastro de profissional, operação clínica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acesso autenticado e auditado.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Sensível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saúde, observações, planos, eventos, documentos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RLS/ABAC, criptografia, minimização, auditoria forte.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Sensível de menor</w:t>
            </w:r>
          </w:p>
        </w:tc>
        <w:tc>
          <w:tcPr>
            <w:tcW w:type="dxa" w:w="32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dados de criança/adolescente + saúde/comportamento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controle máximo, melhor interesse, interface/avisos adequados à idade, acesso estritamente necessário.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25. Modelo de autorização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Manter multi-tenancy por organization_id e RLS como boundary obrigatória. Grants e policies devem ser tratados em conjunto; a documentação atual do Supabase também enfatiza que chaves/roles com bypass de RLS não podem ir ao browser [R14]. O sistema precisa de RBAC para papéis e ABAC para permissões de caso.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6633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Acesso padrão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platform_admin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administração técnica mínima; não deve possuir leitura clínica indiscriminada como conveniência.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organization_admin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gestão de membros/unidades/políticas; acesso clínico apenas se também tiver papel clínico explícito.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supervisor clínico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casos atribuídos à supervisão, aprovações e relatórios.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profissional responsável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casos atribuídos, plano/sessão/documentos conforme escopo.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aplicador/terapeuta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executar sessões e registrar dados; edição de plano limitada.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estagiário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permissões explicitamente delegadas e supervisionadas, conforme regras profissionais locais.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responsável/família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somente portal familiar e itens compartilhados; nunca acesso ao painel profissional inteiro.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criança/adolescente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child_session efêmera e recursos autorizados.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26. Controles de segurança obrigatórios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6860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Identidade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MFA obrigatório para admins e recomendado/gradualmente obrigatório para profissionais; sessão com renovação e revogação.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Tenant isolation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RLS em toda nova tabela/view; testes automatizados de acesso cruzado em CI.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Segredos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service/secret keys apenas server-side; rotação e secret manager.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Criptografia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TLS em trânsito; criptografia do provedor em repouso; campos adicionais quando risco justificar.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Logs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audit log de leitura de caso, exportação, alterações de plano/permissão e ações administrativas.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Iframe/apps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sandbox restritivo, allowlist de origins, CSP frame-src, validação source+origin, tokens scoped.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Tokens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curta duração, escopo run/child/app/origin, revogação em conclusão, não em URL/log.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Supply chain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lockfile, dependabot/renovate, SBOM, verificação de build e dependências críticas.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Secure SDLC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adotar OWASP ASVS como checklist verificável; página atual do projeto identifica 5.0.0 como versão mais recente [R13].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Governança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NIST CSF 2.0 para governança, identificação, proteção, detecção, resposta e recuperação [R12].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Backup/DR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backup automático, PITR quando disponível, teste periódico de restore, cópia lógica independente para ativos críticos.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Ambiente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produção, staging e dev separados; nenhum dado real em dev/teste.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Observabilidade</w:t>
            </w:r>
          </w:p>
        </w:tc>
        <w:tc>
          <w:tcPr>
            <w:tcW w:type="dxa" w:w="68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alertas de falha de auth, RLS, sync, volume anômalo, token abuse e erros de jogo.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27. Privacidade e ciclo de vida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Registro de operações de tratamento: finalidade, categoria de dado, titular, base legal avaliada, operadores/suboperadores, retenção e compartilhamentos.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Aviso de privacidade adulto e versão adequada para responsáveis/menores conforme capacidade de compreensão.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Consentimentos devem ser granulares quando essa for a base escolhida; revogação não apaga automaticamente registros cuja manutenção tenha outra justificativa legal/regulatória.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Data minimization: jogos recebem apenas IDs efêmeros e parâmetros; nome completo e diagnóstico não entram no iframe salvo necessidade excepcional e aprovada.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Exportação do titular/responsável em formato compreensível e portátil; trilha de quem exportou.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Retenção por categoria documental e obrigação profissional; não usar uma única política de “apagar tudo em X anos”.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RIPD/relatório de impacto recomendado antes de produção, especialmente por saúde + menores + monitoramento sistemático.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Contratos/DPA com fornecedores, mapeando suboperadores e transferências internacionais.</w:t>
      </w:r>
    </w:p>
    <w:p>
      <w:pPr>
        <w:pStyle w:val="Heading3"/>
        <w:keepNext/>
        <w:spacing w:before="140" w:after="100" w:line="264" w:lineRule="auto"/>
        <w:widowControl/>
      </w:pPr>
      <w:r>
        <w:t>27.1 Localização de dados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Supabase oferece atualmente região específica South America (São Paulo), sa-east-1, e informa que a região escolhida determina onde os dados primários do projeto são armazenados, embora a seleção de região não seja prova de conformidade regulatória [R15]. Para uma implantação brasileira, sa-east-1 é a preferência inicial de residência/latência, sujeita a arquitetura de backups, suboperadores e análise jurídica completa.</w:t>
      </w:r>
    </w:p>
    <w:p>
      <w:pPr>
        <w:pStyle w:val="Heading2"/>
        <w:keepNext/>
        <w:spacing w:before="140" w:after="100" w:line="264" w:lineRule="auto"/>
        <w:widowControl/>
      </w:pPr>
      <w:r>
        <w:t>28. Incidentes de segurança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plano de resposta precisa cobrir triagem, contenção, análise de risco, preservação de evidências, comunicação e pós-incidente. A Resolução CD/ANPD nº 15/2024 prevê comunicação à ANPD e aos titulares quando o incidente puder acarretar risco ou dano relevante; dados sensíveis e dados de menores são fatores destacados, e o registro de incidentes deve ser mantido por pelo menos cinco anos [R9].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6633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SLA interno proposto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Detecção e abertura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imediata; gerar incident_id e preservar logs.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Classificação inicial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até 4 horas para incidentes potencialmente sensíveis.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Contenção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prioridade máxima; revogar tokens/chaves/sessões quando aplicável.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Avaliação LGPD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DPO/jurídico + segurança; decidir enquadramento e prazo regulatório.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Comunicação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seguir prazo legal vigente e conteúdo requerido; não aguardar investigação “perfeita” quando a norma exigir ação.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Registro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manter dossiê por no mínimo o período regulatório aplicável; hoje RCIS exige ≥5 anos.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Post-mortem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causa raiz, ações corretivas, testes e revisão do threat model.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29. Documentação profissional e avaliação psicológica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 plataforma deve distinguir “registro clínico operacional”, “documento psicológico” e “instrumento/teste”. O CFP publicou a Resolução 06/2019 sobre elaboração de documentos escritos produzidos no exercício profissional [R6]. O SATEPSI, regulamentado pela Resolução CFP 31/2022, informa quais testes podem ser utilizados e destaca que instrumentos não reconhecidos como teste podem ser recursos complementares quando houver fundamentação científica [R5].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E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4" w:lineRule="auto"/>
            </w:pPr>
            <w:r>
              <w:rPr>
                <w:rFonts w:ascii="Liberation Sans" w:hAnsi="Liberation Sans" w:eastAsia="Liberation Sans"/>
                <w:b/>
                <w:color w:val="9C3D3D"/>
                <w:sz w:val="18"/>
              </w:rPr>
              <w:t>Regra de produto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Nenhum jogo do PsicoPlay deve aparecer no relatório como “teste psicológico”, “Q.I.”, “perfil neuropsicológico” ou diagnóstico sem um processo formal de validação, enquadramento e autorização profissional. Métricas como memória, atenção ou controle inibitório devem ser nomeadas como desempenho na tarefa específica.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29.1 Registro de instrumentos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Campo obrigatório</w:t>
            </w:r>
          </w:p>
        </w:tc>
        <w:tc>
          <w:tcPr>
            <w:tcW w:type="dxa" w:w="6406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Exemplo/uso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instrument_id + versão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identidade estável e versão aplicada.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tipo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teste psicológico / escala / questionário / triagem / recurso clínico.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detentor/licença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titular de direitos e termos de uso.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população/idioma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faixa, idioma/validação pertinente.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jurisdição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Brasil e outras, quando aplicável.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SATEPSI/status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 for teste psicológico no Brasil; checagem e validade.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scoring provenance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função/versão que calculou escore; raw responses preservadas conforme direito/licença.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uso permitido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screening, acompanhamento, pesquisa, avaliação etc.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restrição de acesso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profissional habilitado/role.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30. Serviços mediados por tecnologias digitais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Caso o PsicoPlay seja utilizado para prestação de serviços psicológicos mediada por TDIC, a Resolução CFP 09/2024 deve entrar no checklist operacional. Orientação regional do sistema CFP destaca que o contrato deve informar recursos tecnológicos utilizados e que o profissional deve informar como garante o sigilo; as obrigações de produção, guarda documental e registro continuam aplicáveis [R10]. A plataforma deve, portanto, gerar um inventário exportável das tecnologias/fornecedores relevantes para o contrato e aviso de privacidade.</w:t>
      </w:r>
    </w:p>
    <w:p>
      <w:pPr>
        <w:pStyle w:val="Heading1"/>
        <w:keepNext/>
        <w:spacing w:before="200" w:after="100" w:line="264" w:lineRule="auto"/>
        <w:widowControl/>
      </w:pPr>
      <w:r>
        <w:t>PARTE VII — Analytics, relatórios, supervisão e IA</w:t>
      </w:r>
    </w:p>
    <w:p>
      <w:pPr>
        <w:pStyle w:val="Heading2"/>
        <w:keepNext/>
        <w:spacing w:before="140" w:after="100" w:line="264" w:lineRule="auto"/>
        <w:widowControl/>
      </w:pPr>
      <w:r>
        <w:t>31. Dashboards clínicos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Dashboard</w:t>
            </w:r>
          </w:p>
        </w:tc>
        <w:tc>
          <w:tcPr>
            <w:tcW w:type="dxa" w:w="6690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Indicadores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Caso — visão geral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objetivos ativos, sessões/semana, aquisições, revisões vencendo, dados pendentes.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linha de tempo por medida; independência, prompts, contexto, generalização/manutenção.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Comportamento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medida correta ao método, condições observadas, notas ABC; sem função automática.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Reforçadores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preferência recente, uso, variedade, efetividade descritiva.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Sessão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módulos, duração, eventos, qualidade dos dados, notas, recursos usados.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Supervisão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integridade, IOA, distribuição de caseload, planos pendentes, dados com anomalia.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Organização</w:t>
            </w:r>
          </w:p>
        </w:tc>
        <w:tc>
          <w:tcPr>
            <w:tcW w:type="dxa" w:w="669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volume operacional e qualidade; dados clínicos agregados somente com necessidade e autorização.</w:t>
            </w:r>
          </w:p>
        </w:tc>
      </w:tr>
    </w:tbl>
    <w:p>
      <w:pPr>
        <w:spacing w:after="40"/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31.1 Gráficos ABA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produto deve oferecer line chart e gráficos adequados à medida, com opção de linha de mudança de fase, anotações de intervenção, aim line/critério quando definido e tabela acessível. Não suavizar a série por padrão ao ponto de esconder variabilidade. Agregações entre programas diferentes só devem ocorrer se a definição de medida for semanticamente equivalente.</w:t>
      </w:r>
    </w:p>
    <w:p>
      <w:pPr>
        <w:pStyle w:val="Heading2"/>
        <w:keepNext/>
        <w:spacing w:before="140" w:after="100" w:line="264" w:lineRule="auto"/>
        <w:widowControl/>
      </w:pPr>
      <w:r>
        <w:t>32. Relatórios e documentos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3969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Conteúdo</w:t>
            </w:r>
          </w:p>
        </w:tc>
        <w:tc>
          <w:tcPr>
            <w:tcW w:type="dxa" w:w="283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Fluxo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Resumo de sessão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atividades, medidas, suportes, observação profissional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rascunho automático → revisão → assinatura/autoria.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Relatório de progresso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objetivos, tendências, generalização/manutenção, interpretação humana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período + plano/version; revisão clínica obrigatória.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Revisão do plano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baseline, objetivos, status, alterações, justificativas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versiona care_plan.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Supervisão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integridade, IOA, feedback, decisões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acesso restrito à equipe.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Resumo para família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linguagem clara, conquistas e orientações compartilháveis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conteúdo selecionado pelo profissional.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Exportação de dados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CSV/JSON + dicionário; PDF humano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permite portabilidade/auditoria.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Auditoria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acessos, permissões, versões, exports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admin/DPO; não expor à criança.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33. IA como copiloto, não decisor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A IA pode reduzir trabalho administrativo e melhorar consistência, mas deve operar sob governança. A CASP publicou parâmetros específicos para uso de IA em ABA cobrindo aspectos regulatórios/éticos, governança organizacional, seleção, implantação, monitoramento e auditoria [R16]. Para PsicoPlay, a IA deve ter escopo assistivo e rastreável.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36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Permitido com revisão humana</w:t>
            </w:r>
          </w:p>
        </w:tc>
        <w:tc>
          <w:tcPr>
            <w:tcW w:type="dxa" w:w="4309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Bloqueado por padrão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Resumir sessões a partir de eventos e notas, mantendo links para a evidência.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Diagnosticar autismo/TDAH ou outra condição.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Sugerir rascunho de objetivo com campos faltantes destacados.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Alterar plano/critério/mastery automaticamente.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Detectar dados faltantes, outliers e inconsistências sem interpretá-los como condição clínica.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Inferir função de comportamento a partir de correlação.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Gerar linguagem simples para relatório familiar a partir de conteúdo aprovado.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Enviar dados sensíveis a modelo externo sem governança, contrato e base legal.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Pesquisar biblioteca interna curada e citar fonte.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Inventar referências ou apresentar recomendação sem fonte/proveniência.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Ajudar a configurar jogo/material de acordo com objetivo já definido.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Usar “score de IA” como substituto de julgamento clínico.</w:t>
            </w:r>
          </w:p>
        </w:tc>
      </w:tr>
    </w:tbl>
    <w:p>
      <w:pPr>
        <w:spacing w:after="40"/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33.1 Arquitetura de IA recomendada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AI Gateway server-side; nenhum API key no browser.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Redação/pseudonimização antes de sair do ambiente sempre que o caso de uso permitir.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Providers aprovados por organização, com contrato e configuração de retenção/treinamento compatível com a política.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Prompt templates versionados; registrar modelo, versão, finalidade, fontes recuperadas e usuário que aprovou a saída.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RAG apenas sobre documentos que o usuário já pode acessar; autorização aplicada antes da recuperação.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Botão “aplicar ao registro” separado do chat; toda escrita clínica exige confirmação explícita.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Avaliação periódica de hallucination, bias, leakage, prompt injection e impacto clínico.</w:t>
      </w:r>
    </w:p>
    <w:p>
      <w:pPr>
        <w:pStyle w:val="Heading1"/>
        <w:keepNext/>
        <w:spacing w:before="200" w:after="100" w:line="264" w:lineRule="auto"/>
        <w:widowControl/>
      </w:pPr>
      <w:r>
        <w:t>PARTE VIII — Supervisão, família, interoperabilidade e operação</w:t>
      </w:r>
    </w:p>
    <w:p>
      <w:pPr>
        <w:pStyle w:val="Heading2"/>
        <w:keepNext/>
        <w:spacing w:before="140" w:after="100" w:line="264" w:lineRule="auto"/>
        <w:widowControl/>
      </w:pPr>
      <w:r>
        <w:t>34. Supervisão clínica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Caseload do supervisor com planos vencendo, targets sem dados, metas dominadas sem manutenção e indicadores de qualidade.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Amostras de integridade e IOA agendáveis; observadores independentes quando necessário.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Comentários e requests de mudança por versão do plano/programa; aprovação registrada.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Revisão de gráficos com marcações de decisões clínicas; toda mudança de fase gera evento/nota.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Métricas de supervisão nunca devem virar ranking de produtividade individual sem contexto e política transparente.</w:t>
      </w:r>
    </w:p>
    <w:p>
      <w:pPr>
        <w:pStyle w:val="Heading2"/>
        <w:keepNext/>
        <w:spacing w:before="140" w:after="100" w:line="264" w:lineRule="auto"/>
        <w:widowControl/>
      </w:pPr>
      <w:r>
        <w:t>35. Portal de responsáveis/família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portal familiar deve ser separado da interface profissional. Ele mostra apenas conteúdo compartilhado: agenda, orientações, tarefas de generalização, materiais, mensagens e resumos aprovados. Os responsáveis podem registrar observações estruturadas e dados de rotinas quando convidados, sempre identificando a fonte como “relato do responsável”, sem misturar automaticamente com observação direta de profissional.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7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6803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Orientações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versionadas, autor, data e confirmação de leitura opcional.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Tarefas para casa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passos simples, frequência, recurso visual e campo de retorno.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Dados familiares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fonte explícita; filtros separados nos gráficos.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Mensagens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escopo clínico/administrativo; política de resposta e emergência visível.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Consentimentos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consulta/revogação quando aplicável; histórico não editável.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Documentos compartilhados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apenas versões finalizadas e liberadas.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36. Interoperabilidade futura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FHIR é um padrão HL7 para troca de dados de saúde [R17]. A RNDS é a plataforma oficial brasileira de interoperabilidade em saúde e informa adotar FHIR; seu guia atual de implementação público é baseado em FHIR 4.0.1 [R18][R19]. Isso justifica projetar o PsicoPlay com IDs, versionamento e semântica capazes de mapear no futuro para recursos como Patient, CarePlan, Goal, Observation, QuestionnaireResponse e DocumentReference. Integração direta com RNDS, entretanto, é um projeto regulatório/técnico próprio e só deve ser iniciada se a organização se enquadrar e cumprir credenciamento e contratos exigidos.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PsicoPlay</w:t>
            </w:r>
          </w:p>
        </w:tc>
        <w:tc>
          <w:tcPr>
            <w:tcW w:type="dxa" w:w="238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FHIR candidato</w:t>
            </w:r>
          </w:p>
        </w:tc>
        <w:tc>
          <w:tcPr>
            <w:tcW w:type="dxa" w:w="4252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child/case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Patient + related entities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mapear identificadores somente quando necessário.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care_plan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CarePlan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objetivos e atividades.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goal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Goal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status e target.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medida clínica agregada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Observation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apenas quando semântica estiver definida.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questionário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Questionnaire/QuestionnaireResponse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licença e versão do instrumento continuam necessárias.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documento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DocumentReference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hash, autoria e versão.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equipe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CareTeam/PractitionerRole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papéis e organização.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37. Requisitos não funcionais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5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691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Meta de produto recomendada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Disponibilidade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SLO de 99,9% para superfícies profissionais em produção, excluindo manutenção anunciada; modo offline para coleta crítica.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Performance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p95 de ações comuns &lt;500 ms quando online; tela de caso útil &lt;2,5 s em conexão móvel razoável; jogos com orçamento de bundle e assets.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Escalabilidade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particionar por organization/child/time quando volume exigir; índices orientados aos queries reais.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Durabilidade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backup/PITR conforme plano; restore testado; clinical_events com política de integridade.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Sincronização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fila idempotente; nenhuma duplicação de tentativa após retry.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Observabilidade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traces/metrics/logs sem payload clínico por padrão; IDs técnicos para correlação.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Compatibilidade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últimas versões estáveis de Chrome/Edge/Safari; tablet iOS/Android via PWA/web responsiva.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Acessibilidade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WCAG 2.2 AA como baseline web; auditoria automatizada + manual.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Internacionalização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pt-BR primeiro; IDs semânticos não dependem do texto exibido.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Auditabilidade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qualquer relatório clínico deve revelar dados-fonte, regra e versão que originaram seus números.</w:t>
            </w:r>
          </w:p>
        </w:tc>
      </w:tr>
    </w:tbl>
    <w:p>
      <w:pPr>
        <w:spacing w:after="40"/>
        <w:widowControl/>
      </w:pPr>
    </w:p>
    <w:p>
      <w:pPr>
        <w:pStyle w:val="Heading1"/>
        <w:keepNext/>
        <w:spacing w:before="200" w:after="100" w:line="264" w:lineRule="auto"/>
        <w:widowControl/>
      </w:pPr>
      <w:r>
        <w:t>PARTE IX — Qualidade, roadmap e critérios de aceite</w:t>
      </w:r>
    </w:p>
    <w:p>
      <w:pPr>
        <w:pStyle w:val="Heading2"/>
        <w:keepNext/>
        <w:spacing w:before="140" w:after="100" w:line="264" w:lineRule="auto"/>
        <w:widowControl/>
      </w:pPr>
      <w:r>
        <w:t>38. Estratégia de testes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5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691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Testes obrigatórios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Banco/RLS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isolamento entre organizações, casos não atribuídos, grants, RPC authorization, revogação.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Protocol/SDK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schema validation, origem/source, token scope, ACK/NACK, retries, event ordering.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Agregador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vetores compartilhados SQL/TypeScript, edge cases, amostra vazia, prompts, rounding.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Clinical rules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mastery/generalization/maintenance por fixtures aprovados; versionamento e regressão.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Jogos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lógica, dificuldade, métricas, eventos, acessibilidade, perda de rede, resize/orientation.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E2E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profissional cria sessão → criança executa → sync → relatório → histórico.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Segurança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ASVS, SAST/DAST, dependency scan, CSP, iframe escapes, auth abuse, export permissions.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Acessibilidade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axe/Lighthouse + teclado, leitor de tela, touch, reduced motion, baixa visão.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Clinical validation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profissionais revisam semântica dos eventos e relatório antes do release.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Usabilidade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tempo para iniciar sessão/coletar tentativa; testes com aplicadores e diferentes dispositivos.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39. Release gates clínicos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Nenhum novo jogo entra no catálogo clínico sem manifest validado, owner, versão, skill mapping e evento de conclusão.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Nenhum valor exibido como “mastery/domínio” sem regra visível e teste de referência.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Nenhuma nova tabela de dado sensível sem RLS, grants explícitos e teste de acesso cruzado.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Nenhum instrumento entra em produção sem revisão de licença, finalidade, população e enquadramento profissional.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Nenhuma funcionalidade de IA escreve no registro clínico sem confirmação humana e provenance.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Nenhum relatório final é gerado se houver eventos offline pendentes sem uma exceção explicitamente registrada.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Nenhum recurso destinado à criança envia nome completo, diagnóstico ou notas clínicas para jogo sem necessidade documentada.</w:t>
      </w:r>
    </w:p>
    <w:p>
      <w:pPr>
        <w:pStyle w:val="Heading2"/>
        <w:keepNext/>
        <w:spacing w:before="140" w:after="100" w:line="264" w:lineRule="auto"/>
        <w:widowControl/>
      </w:pPr>
      <w:r>
        <w:t>40. Roadmap recomendado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141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Horizonte indicativo</w:t>
            </w:r>
          </w:p>
        </w:tc>
        <w:tc>
          <w:tcPr>
            <w:tcW w:type="dxa" w:w="4932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Entregas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Fase 0 — Consolidação imediata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0–4 semanas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Atualizar README/arquitetura; catálogo manifest-driven único; resolver drift do threat model; inventário de instrumentos/licenças; remover duplicações Arcade/PsicoPlay.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Fase 1 — Clinical Core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1–3 meses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Caso, plano versionado, objetivos/programas/targets, prompts, reforçadores, sessão profissional e eventos completos.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Fase 2 — Runtime seguro de atividades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2–4 meses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ActivityFrame consolidado, execution tokens scoped, CSP/origin/sandbox, sync offline idempotente, conformance SDK.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Fase 3 — Analytics longitudinal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3–5 meses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Ontologia de skills, mastery rules, generalização/manutenção, gráficos ABA, data quality e relatórios.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Fase 4 — NDBI/intervenção precoce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4–6 meses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Rotinas de atividade conjunta, oportunidades naturalísticas, engajamento, comunicação multimodal, fidelidade genérica.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Fase 5 — Família/supervisão/organização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5–8 meses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portal familiar, IOA/integridade, workflow de supervisão, consentimentos, auditoria e documentos.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Fase 6 — Catálogo 12+ e acessibilidade avançada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6–10 meses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jogos adolescência/adulto, AAC, switch, materiais funcionais, conteúdo inclusivo.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Fase 7 — IA e interoperabilidade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após core estável</w:t>
            </w:r>
          </w:p>
        </w:tc>
        <w:tc>
          <w:tcPr>
            <w:tcW w:type="dxa" w:w="49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AI Gateway governado, RAG com ACL, FHIR export e avaliação de elegibilidade RNDS.</w:t>
            </w:r>
          </w:p>
        </w:tc>
      </w:tr>
    </w:tbl>
    <w:p>
      <w:pPr>
        <w:spacing w:after="40"/>
        <w:widowControl/>
      </w:pPr>
    </w:p>
    <w:p>
      <w:pPr>
        <w:pStyle w:val="Heading3"/>
        <w:keepNext/>
        <w:spacing w:before="140" w:after="100" w:line="264" w:lineRule="auto"/>
        <w:widowControl/>
      </w:pPr>
      <w:r>
        <w:t>40.1 MVP de produção clínica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O MVP não precisa ter todos os jogos. Precisa ter um ciclo de dado completo e confiável. Um profissional deve conseguir criar/abrir caso, definir objetivo e programa, iniciar uma sessão, executar um recurso/jogo, registrar respostas e prompts, sincronizar, finalizar, visualizar gráfico e gerar resumo com rastreabilidade. Se esse circuito estiver correto, o catálogo pode crescer sem reinventar backend.</w:t>
      </w:r>
    </w:p>
    <w:p>
      <w:pPr>
        <w:pStyle w:val="Heading2"/>
        <w:keepNext/>
        <w:spacing w:before="140" w:after="100" w:line="264" w:lineRule="auto"/>
        <w:widowControl/>
      </w:pPr>
      <w:r>
        <w:t>41. Critérios de aceite do “sistema operacional clínico”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041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6633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Teste de aceite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Plano versionado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Alterar critério hoje não muda a interpretação histórica de sessão antiga.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Evento confiável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Retry offline da mesma tentativa não duplica contagem.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Segurança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Profissional de organização A não lê nem enumera dados da organização B.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Permissão por caso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Profissional sem assignment não abre criança mesmo conhecendo UUID.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Jogo desacoplado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Novo jogo compatível pode ser instalado via manifest/registry sem migration específica de scoring.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Mastery auditável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Dashboard mostra regra/versão e permite chegar aos eventos subjacentes.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Generalização real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Mesmo objetivo diferencia clínica, casa, escola e jogo como contextos.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Acessibilidade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atividade principal utilizável por toque e teclado, sem depender de cor/áudio isoladamente.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Privacidade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iframe recebe apenas configuração mínima e token scoped/expirável.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Relatório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números no PDF/Word correspondem às projeções server-side e possuem período/fonte/versão.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Instrumento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scoring é server-side e instrumento bloqueia aplicação fora das condições autorizadas.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IA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saída permanece rascunho até confirmação do profissional e guarda provenance.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spacing w:before="140" w:after="100" w:line="264" w:lineRule="auto"/>
        <w:widowControl/>
      </w:pPr>
      <w:r>
        <w:t>42. Backlog de produto priorizado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24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742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Item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P0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Reescrever arquitetura/README a partir do código real.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P0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Finalizar boundary ActivityFrame/token/origin e atualizar threat model/testes.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P0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Criar data dictionary dos eventos e schemas por event_type.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P0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Implementar care_plan/goal/program versionados.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P0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Migrar fluxo Arcade para session workspace server-backed.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P0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Inventário de instrumentos/licenças/status SATEPSI.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P0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Auditoria RLS/grants de todas as migrations e views.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P1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Reforçadores/preference assessment e prompts configuráveis.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P1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Mastery rules por objetivo e manutenção/generalização.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P1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Behavior data: frequência/duração/latência/intervalo/ABC.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P1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Supervisão: integridade, IOA e approvals.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P1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PWA/offline queue com expurgo seguro.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P1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Acessibilidade harmonizada em todos os jogos.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P1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Asset/licensing pipeline e biblioteca de materiais.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P2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Portal família e dados de generalização em casa.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P2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Jogos adolescentes/adultos e estética não infantil.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P2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AAC/switch scanning e presets sensoriais.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P2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AI Gateway com governança e provenance.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P3</w:t>
            </w:r>
          </w:p>
        </w:tc>
        <w:tc>
          <w:tcPr>
            <w:tcW w:type="dxa" w:w="74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FHIR export e estudo de integração RNDS.</w:t>
            </w:r>
          </w:p>
        </w:tc>
      </w:tr>
    </w:tbl>
    <w:p>
      <w:pPr>
        <w:spacing w:after="40"/>
        <w:widowControl/>
      </w:pPr>
    </w:p>
    <w:p>
      <w:pPr>
        <w:pStyle w:val="Heading1"/>
        <w:keepNext/>
        <w:spacing w:before="200" w:after="100" w:line="264" w:lineRule="auto"/>
        <w:widowControl/>
      </w:pPr>
      <w:r>
        <w:t>APÊNDICE A — Mapa de telas detalhado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5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Tela</w:t>
            </w:r>
          </w:p>
        </w:tc>
        <w:tc>
          <w:tcPr>
            <w:tcW w:type="dxa" w:w="6009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Escopo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Autenticação profissional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login, MFA, recuperação, seleção de organização.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Home profissional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agenda, atalhos, pendências, alertas de revisão/sync.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Lista de casos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filtro, busca, equipe, status, acesso recente.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Novo caso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dados mínimos, responsáveis, consentimentos, equipe.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Visão geral do caso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snapshot clínico e operacional.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Plano individual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domínios, objetivos, versões, aprovação.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Editor de objetivo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definição, baseline, medida, critério, contextos.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Editor de programa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modo de ensino, prompt, correção, reforço, targets.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Reforçadores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inventário, avaliações de preferência, restrições.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Comportamentos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definições, medidas, registros ABC/intervalos.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Planejador de sessão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módulos, jogos, materiais, presets.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Session workspace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aplicação e coleta em tempo real.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Game launcher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atividade isolada, status de conexão e retorno.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Resumo de sessão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dados, notas, pendências, finalizar.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Analytics do caso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objetivo, comportamento, prompt, generalização.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Timeline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sessões, mudanças de plano, documentos, consentimentos.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Documentos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rascunho, revisão, assinatura, compartilhamento.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Supervisão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caseload, integridade/IOA, revisão de planos.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Recursos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catálogo, filtros, manifests, licenças.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Gerenciador de jogos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status, versões, origem, compatibilidade, release.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Organização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membros, papéis, unidades, políticas.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Segurança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MFA, sessões, logs, exportações, incidentes.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Portal família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orientações, tarefas, materiais, documentos compartilhados.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Portal criança/adolescente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entrada, hoje, atividade, preferências, encerramento.</w:t>
            </w:r>
          </w:p>
        </w:tc>
      </w:tr>
    </w:tbl>
    <w:p>
      <w:pPr>
        <w:spacing w:after="40"/>
        <w:widowControl/>
      </w:pPr>
    </w:p>
    <w:p>
      <w:pPr>
        <w:pStyle w:val="Heading1"/>
        <w:keepNext/>
        <w:spacing w:before="200" w:after="100" w:line="264" w:lineRule="auto"/>
        <w:widowControl/>
      </w:pPr>
      <w:r>
        <w:t>APÊNDICE B — Preset de sessão clínica</w:t>
      </w:r>
    </w:p>
    <w:p>
      <w:pPr>
        <w:spacing w:before="0" w:after="100" w:line="264" w:lineRule="auto"/>
        <w:widowControl/>
      </w:pPr>
      <w:r>
        <w:rPr>
          <w:rFonts w:ascii="Liberation Sans" w:hAnsi="Liberation Sans" w:eastAsia="Liberation Sans"/>
          <w:i w:val="0"/>
          <w:color w:val="303735"/>
          <w:sz w:val="19"/>
        </w:rPr>
        <w:t>Presets aceleram o trabalho sem substituir o plano. Um preset deve guardar apenas seleção de módulos e parâmetros iniciais. Na abertura, o sistema valida se objetivos, permissões, versões de apps e restrições ainda estão vigentes.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406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Exemplo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name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Sessão linguagem receptiva — inicial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goal_ids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objetivos ativos selecionados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modules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DTT target A → Escolha pela Instrução → NET rotina livro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default_trials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10 por target, editável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prompt_hierarchy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LTM-linguagem-v2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reinforcer_pool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itens disponíveis hoje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adaptations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low_motion=true; audio=soft; stimuli=3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exit_criteria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6"/>
              </w:rPr>
              <w:t>tempo máximo / sinais clínicos definidos pela equipe</w:t>
            </w:r>
          </w:p>
        </w:tc>
      </w:tr>
    </w:tbl>
    <w:p>
      <w:pPr>
        <w:spacing w:after="40"/>
        <w:widowControl/>
      </w:pPr>
    </w:p>
    <w:p>
      <w:pPr>
        <w:pStyle w:val="Heading1"/>
        <w:keepNext/>
        <w:spacing w:before="200" w:after="100" w:line="264" w:lineRule="auto"/>
        <w:widowControl/>
      </w:pPr>
      <w:r>
        <w:t>APÊNDICE C — Referências ao código analisado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737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Ref.</w:t>
            </w:r>
          </w:p>
        </w:tc>
        <w:tc>
          <w:tcPr>
            <w:tcW w:type="dxa" w:w="3969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Arquivo</w:t>
            </w:r>
          </w:p>
        </w:tc>
        <w:tc>
          <w:tcPr>
            <w:tcW w:type="dxa" w:w="3969"/>
            <w:shd w:fill="214B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Uso nesta especificação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PsicoPlayKids/README.md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README atual; contém informações de fase que já não refletem todo o backend presente.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[G2]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PsicoPlayKids/GAME_SDK_INTEGRATION.md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ActivityFrame, postMessage, APP_HELLO/SESSION_CONFIG/SESSION_COMPLETED e boundary de origem.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[G3]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PsicoPlayKids/Games-Analysis.md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inventário e auditoria dos jogos.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[G4]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PsicoPlayKids/packages/clinical-types/src/index.ts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tipos clínicos de organização, criança, sessão, módulos/runs.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[G5]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PsicoPlayKids/packages/protocol/src/protocol.ts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eventos clínicos/controle e SessionConfig.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[G6]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PsicoPlayKids/packages/protocol/src/games/manifest.ts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GameManifest, missões e scoring declarativo.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[G7]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PsicoPlayKids/packages/data-aggregator/src/aggregator.ts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projeções por módulo/sessão.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[G8]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PsicoPlayKids/packages/session-engine/src/sessionEngine.ts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estado/ciclo de execução.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[G9]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PsicoPlayKids/supabase/migrations/0003_children_and_assignments.sql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atribuições e RLS de crianças.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[G10]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PsicoPlayKids/supabase/migrations/0004_sessions.sql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sessões e autorização server-side.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[G11]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PsicoPlayKids/supabase/migrations/0008_session_modules_and_runs.sql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módulos, runs e transições.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[G12]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PsicoPlayKids/supabase/migrations/0014_clinical_events.sql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eventos append-only, idempotência e leitura profissional.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[G13]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PsicoPlayKids/supabase/migrations/0023_manifest_driven_game_scoring.sql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scoring manifest-driven e determinístico.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[G14]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PsicoPlayKids/supabase/migrations/0036_child_session_adaptations.sql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adaptações por sessão efêmera.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[G15]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PsicoPlayKids/docs/security/threat-model.md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modelo de ameaças e controles.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[G16]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Terapia-Arcade/src/App.tsx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fluxo biblioteca/histórico/aprendizes e sessão local.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[G17]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Terapia-Arcade/src/components/GameConfigModal.tsx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parâmetros configuráveis de sessão.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[G18]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Terapia-Arcade/src/games/registry.ts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7 minigames e metadados clínicos.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[G19]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Terapia-Arcade/src/components/SessionSummaryModal.tsx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resumo clínico, prompts e comparação histórica.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[G20]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Terapia-Arcade/src/utils/storage.ts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8"/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color w:val="303735"/>
                <w:sz w:val="15"/>
              </w:rPr>
              <w:t>persistência local do protótipo.</w:t>
            </w:r>
          </w:p>
        </w:tc>
      </w:tr>
    </w:tbl>
    <w:p>
      <w:pPr>
        <w:spacing w:after="40"/>
        <w:widowControl/>
      </w:pPr>
    </w:p>
    <w:p>
      <w:pPr>
        <w:pStyle w:val="Heading1"/>
        <w:keepNext/>
        <w:spacing w:before="200" w:after="100" w:line="264" w:lineRule="auto"/>
        <w:widowControl/>
      </w:pPr>
      <w:r>
        <w:t>APÊNDICE D — Referências externas</w:t>
      </w:r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[R1] </w:t>
      </w:r>
      <w:r>
        <w:rPr>
          <w:rFonts w:ascii="Liberation Sans" w:hAnsi="Liberation Sans" w:eastAsia="Liberation Sans"/>
          <w:color w:val="303735"/>
          <w:sz w:val="16"/>
        </w:rPr>
        <w:t xml:space="preserve">Dawson G, Rogers S, Munson J, et al. Randomized, controlled trial of an intervention for toddlers with autism: the Early Start Denver Model. Pediatrics. 2010;125(1):e17–e23. DOI 10.1542/peds.2009-0958. </w:t>
      </w:r>
      <w:hyperlink r:id="rId11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[R2] </w:t>
      </w:r>
      <w:r>
        <w:rPr>
          <w:rFonts w:ascii="Liberation Sans" w:hAnsi="Liberation Sans" w:eastAsia="Liberation Sans"/>
          <w:color w:val="303735"/>
          <w:sz w:val="16"/>
        </w:rPr>
        <w:t xml:space="preserve">Schreibman L, Dawson G, Stahmer AC, et al. Naturalistic Developmental Behavioral Interventions: Empirically Validated Treatments for Autism Spectrum Disorder. J Autism Dev Disord. 2015;45:2411–2428. DOI 10.1007/s10803-015-2407-8. </w:t>
      </w:r>
      <w:hyperlink r:id="rId12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[R3] </w:t>
      </w:r>
      <w:r>
        <w:rPr>
          <w:rFonts w:ascii="Liberation Sans" w:hAnsi="Liberation Sans" w:eastAsia="Liberation Sans"/>
          <w:color w:val="303735"/>
          <w:sz w:val="16"/>
        </w:rPr>
        <w:t xml:space="preserve">Hume K, Steinbrenner JR, Odom SL, et al. Evidence-Based Practices for Children, Youth, and Young Adults with Autism: Third Generation Review. J Autism Dev Disord. 2021;51:4013–4032. </w:t>
      </w:r>
      <w:hyperlink r:id="rId13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[R4] </w:t>
      </w:r>
      <w:r>
        <w:rPr>
          <w:rFonts w:ascii="Liberation Sans" w:hAnsi="Liberation Sans" w:eastAsia="Liberation Sans"/>
          <w:color w:val="303735"/>
          <w:sz w:val="16"/>
        </w:rPr>
        <w:t xml:space="preserve">Council of Autism Service Providers (CASP). Applied Behavior Analysis Practice Guidelines for the Treatment of Autism Spectrum Disorder, Version 3.0. 2024. (Uso sujeito aos termos/licença do CASP.) </w:t>
      </w:r>
      <w:hyperlink r:id="rId14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[R5] </w:t>
      </w:r>
      <w:r>
        <w:rPr>
          <w:rFonts w:ascii="Liberation Sans" w:hAnsi="Liberation Sans" w:eastAsia="Liberation Sans"/>
          <w:color w:val="303735"/>
          <w:sz w:val="16"/>
        </w:rPr>
        <w:t xml:space="preserve">Conselho Federal de Psicologia. SATEPSI / Resolução CFP nº 31/2022 — diretrizes para Avaliação Psicológica e requisitos de testes. </w:t>
      </w:r>
      <w:hyperlink r:id="rId15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[R6] </w:t>
      </w:r>
      <w:r>
        <w:rPr>
          <w:rFonts w:ascii="Liberation Sans" w:hAnsi="Liberation Sans" w:eastAsia="Liberation Sans"/>
          <w:color w:val="303735"/>
          <w:sz w:val="16"/>
        </w:rPr>
        <w:t xml:space="preserve">Conselho Federal de Psicologia. Resolução CFP nº 06/2019 — elaboração de documentos escritos produzidos pela(o) psicóloga(o). </w:t>
      </w:r>
      <w:hyperlink r:id="rId16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[R7] </w:t>
      </w:r>
      <w:r>
        <w:rPr>
          <w:rFonts w:ascii="Liberation Sans" w:hAnsi="Liberation Sans" w:eastAsia="Liberation Sans"/>
          <w:color w:val="303735"/>
          <w:sz w:val="16"/>
        </w:rPr>
        <w:t xml:space="preserve">Brasil. Lei nº 13.709/2018 — Lei Geral de Proteção de Dados Pessoais (LGPD), texto compilado. </w:t>
      </w:r>
      <w:hyperlink r:id="rId17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[R8] </w:t>
      </w:r>
      <w:r>
        <w:rPr>
          <w:rFonts w:ascii="Liberation Sans" w:hAnsi="Liberation Sans" w:eastAsia="Liberation Sans"/>
          <w:color w:val="303735"/>
          <w:sz w:val="16"/>
        </w:rPr>
        <w:t xml:space="preserve">ANPD. Enunciado sobre tratamento de dados pessoais de crianças e adolescentes, 24/05/2023. </w:t>
      </w:r>
      <w:hyperlink r:id="rId18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[R9] </w:t>
      </w:r>
      <w:r>
        <w:rPr>
          <w:rFonts w:ascii="Liberation Sans" w:hAnsi="Liberation Sans" w:eastAsia="Liberation Sans"/>
          <w:color w:val="303735"/>
          <w:sz w:val="16"/>
        </w:rPr>
        <w:t xml:space="preserve">ANPD. Resolução nº 15/2024 / Regulamento de Comunicação de Incidente de Segurança. </w:t>
      </w:r>
      <w:hyperlink r:id="rId19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[R10] </w:t>
      </w:r>
      <w:r>
        <w:rPr>
          <w:rFonts w:ascii="Liberation Sans" w:hAnsi="Liberation Sans" w:eastAsia="Liberation Sans"/>
          <w:color w:val="303735"/>
          <w:sz w:val="16"/>
        </w:rPr>
        <w:t xml:space="preserve">Sistema CFP/CRP. Orientações sobre atendimento psicológico on-line e Resolução CFP nº 09/2024. </w:t>
      </w:r>
      <w:hyperlink r:id="rId20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[R11] </w:t>
      </w:r>
      <w:r>
        <w:rPr>
          <w:rFonts w:ascii="Liberation Sans" w:hAnsi="Liberation Sans" w:eastAsia="Liberation Sans"/>
          <w:color w:val="303735"/>
          <w:sz w:val="16"/>
        </w:rPr>
        <w:t xml:space="preserve">W3C Web Accessibility Initiative. WCAG 2.2 — W3C Recommendation, 05/10/2023. </w:t>
      </w:r>
      <w:hyperlink r:id="rId21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[R12] </w:t>
      </w:r>
      <w:r>
        <w:rPr>
          <w:rFonts w:ascii="Liberation Sans" w:hAnsi="Liberation Sans" w:eastAsia="Liberation Sans"/>
          <w:color w:val="303735"/>
          <w:sz w:val="16"/>
        </w:rPr>
        <w:t xml:space="preserve">NIST. The Cybersecurity Framework (CSF) 2.0. NIST CSWP 29, 26/02/2024. </w:t>
      </w:r>
      <w:hyperlink r:id="rId22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[R13] </w:t>
      </w:r>
      <w:r>
        <w:rPr>
          <w:rFonts w:ascii="Liberation Sans" w:hAnsi="Liberation Sans" w:eastAsia="Liberation Sans"/>
          <w:color w:val="303735"/>
          <w:sz w:val="16"/>
        </w:rPr>
        <w:t xml:space="preserve">OWASP. Application Security Verification Standard (ASVS), projeto oficial. </w:t>
      </w:r>
      <w:hyperlink r:id="rId23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[R14] </w:t>
      </w:r>
      <w:r>
        <w:rPr>
          <w:rFonts w:ascii="Liberation Sans" w:hAnsi="Liberation Sans" w:eastAsia="Liberation Sans"/>
          <w:color w:val="303735"/>
          <w:sz w:val="16"/>
        </w:rPr>
        <w:t xml:space="preserve">Supabase Docs. Row Level Security — grants, policies, Auth e service roles. </w:t>
      </w:r>
      <w:hyperlink r:id="rId24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[R15] </w:t>
      </w:r>
      <w:r>
        <w:rPr>
          <w:rFonts w:ascii="Liberation Sans" w:hAnsi="Liberation Sans" w:eastAsia="Liberation Sans"/>
          <w:color w:val="303735"/>
          <w:sz w:val="16"/>
        </w:rPr>
        <w:t xml:space="preserve">Supabase Docs. Available regions — South America (São Paulo) sa-east-1 e data residency. </w:t>
      </w:r>
      <w:hyperlink r:id="rId25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[R16] </w:t>
      </w:r>
      <w:r>
        <w:rPr>
          <w:rFonts w:ascii="Liberation Sans" w:hAnsi="Liberation Sans" w:eastAsia="Liberation Sans"/>
          <w:color w:val="303735"/>
          <w:sz w:val="16"/>
        </w:rPr>
        <w:t xml:space="preserve">Council of Autism Service Providers. Practice Parameters for Artificial Intelligence Use in Applied Behavior Analysis. </w:t>
      </w:r>
      <w:hyperlink r:id="rId26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[R17] </w:t>
      </w:r>
      <w:r>
        <w:rPr>
          <w:rFonts w:ascii="Liberation Sans" w:hAnsi="Liberation Sans" w:eastAsia="Liberation Sans"/>
          <w:color w:val="303735"/>
          <w:sz w:val="16"/>
        </w:rPr>
        <w:t xml:space="preserve">HL7. FHIR R5 — standard for health care data exchange. </w:t>
      </w:r>
      <w:hyperlink r:id="rId27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[R18] </w:t>
      </w:r>
      <w:r>
        <w:rPr>
          <w:rFonts w:ascii="Liberation Sans" w:hAnsi="Liberation Sans" w:eastAsia="Liberation Sans"/>
          <w:color w:val="303735"/>
          <w:sz w:val="16"/>
        </w:rPr>
        <w:t xml:space="preserve">Ministério da Saúde. Rede Nacional de Dados em Saúde (RNDS). </w:t>
      </w:r>
      <w:hyperlink r:id="rId28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spacing w:before="0" w:after="100" w:line="252" w:lineRule="auto"/>
        <w:widowControl/>
      </w:pPr>
      <w:r>
        <w:rPr>
          <w:rFonts w:ascii="Liberation Sans" w:hAnsi="Liberation Sans" w:eastAsia="Liberation Sans"/>
          <w:b/>
          <w:color w:val="214B49"/>
          <w:sz w:val="16"/>
        </w:rPr>
        <w:t xml:space="preserve">[R19] </w:t>
      </w:r>
      <w:r>
        <w:rPr>
          <w:rFonts w:ascii="Liberation Sans" w:hAnsi="Liberation Sans" w:eastAsia="Liberation Sans"/>
          <w:color w:val="303735"/>
          <w:sz w:val="16"/>
        </w:rPr>
        <w:t xml:space="preserve">Ministério da Saúde. Guia de Implementação da RNDS — FHIR 4.0.1. </w:t>
      </w:r>
      <w:hyperlink r:id="rId29">
        <w:r>
          <w:rPr>
            <w:color w:val="2B6562"/>
            <w:u w:val="single"/>
            <w:rFonts w:ascii="Liberation Sans" w:hAnsi="Liberation Sans"/>
          </w:rPr>
          <w:t>Acessar fonte</w:t>
        </w:r>
      </w:hyperlink>
    </w:p>
    <w:p>
      <w:pPr>
        <w:pStyle w:val="Heading1"/>
        <w:keepNext/>
        <w:spacing w:before="200" w:after="100" w:line="264" w:lineRule="auto"/>
        <w:widowControl/>
      </w:pPr>
      <w:r>
        <w:t>APÊNDICE E — Decisões que exigem validação antes de desenvolvimento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Quem será juridicamente controlador e operador em cada modelo comercial (clínica, profissional autônomo, rede, escola, parceiro).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Política documental/retencional aplicável a cada tipo de registro e documento psicológico.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Quais protocolos/instrumentos proprietários serão licenciados e como controlar acesso/licença por organização.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Quais papéis profissionais podem criar/aprovar objetivos e documentos em cada jurisdição/serviço.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Quais fornecedores de IA e observabilidade podem receber dados e sob quais termos de retenção/subprocessamento.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Se haverá teleatendimento completo dentro da plataforma ou apenas suporte à sessão presencial/remota externa.</w:t>
      </w:r>
    </w:p>
    <w:p>
      <w:pPr>
        <w:pStyle w:val="ListBullet"/>
        <w:spacing w:before="0" w:after="40" w:line="264" w:lineRule="auto"/>
        <w:widowControl/>
      </w:pPr>
      <w:r>
        <w:rPr>
          <w:rFonts w:ascii="Liberation Sans" w:hAnsi="Liberation Sans" w:eastAsia="Liberation Sans"/>
          <w:color w:val="303735"/>
          <w:sz w:val="18"/>
        </w:rPr>
        <w:t>Quais integrações com prontuários/operadoras/RNDS serão realmente necessárias; evitar integrar por antecipação sem caso de uso.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64" w:lineRule="auto"/>
            </w:pPr>
            <w:r>
              <w:rPr>
                <w:rFonts w:ascii="Liberation Sans" w:hAnsi="Liberation Sans" w:eastAsia="Liberation Sans"/>
                <w:b/>
                <w:color w:val="214B49"/>
                <w:sz w:val="18"/>
              </w:rPr>
              <w:t>Conclusão</w:t>
            </w:r>
          </w:p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/>
                <w:color w:val="303735"/>
                <w:sz w:val="17"/>
              </w:rPr>
              <w:t>A vantagem competitiva do PsicoPlay não deve ser “ter muitos jogos”, e sim transformar qualquer jogo, material ou procedimento em uma fonte de evidência clínica rastreável dentro de um plano individual. O produto se torna forte quando profissional, criança, supervisor e responsável usam superfícies diferentes sobre o mesmo modelo de dados — com segurança, versionamento, contexto e decisão humana.</w:t>
            </w:r>
          </w:p>
        </w:tc>
      </w:tr>
    </w:tbl>
    <w:p>
      <w:pPr>
        <w:spacing w:after="20"/>
        <w:widowControl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 w:eastAsia="Liberation Sans"/>
        <w:color w:val="697370"/>
        <w:sz w:val="15"/>
      </w:rPr>
      <w:t>Documento de produto, clínica, dados e segurança  |  04/10/2026</w:t>
    </w:r>
  </w:p>
  <w:p>
    <w:pPr>
      <w:jc w:val="right"/>
    </w:pPr>
    <w:r>
      <w:rPr>
        <w:rFonts w:ascii="Liberation Sans" w:hAnsi="Liberation Sans" w:eastAsia="Liberation Sans"/>
        <w:color w:val="697370"/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2B6562"/>
        <w:sz w:val="15"/>
      </w:rPr>
      <w:t>PSICOPLAY  /  ESPECIFICAÇÃO MESTRA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3037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14B4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B65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B86B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Liberation Sans" w:hAnsi="Liberation Sans"/>
      <w:b/>
      <w:color w:val="214B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80"/>
    </w:pPr>
    <w:rPr>
      <w:rFonts w:asciiTheme="majorHAnsi" w:eastAsiaTheme="majorEastAsia" w:hAnsiTheme="majorHAnsi" w:cstheme="majorBidi" w:ascii="Liberation Sans" w:hAnsi="Liberation Sans"/>
      <w:b w:val="0"/>
      <w:i/>
      <w:iCs/>
      <w:color w:val="6973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ubmed.ncbi.nlm.nih.gov/19948568/" TargetMode="External"/><Relationship Id="rId12" Type="http://schemas.openxmlformats.org/officeDocument/2006/relationships/hyperlink" Target="https://pubmed.ncbi.nlm.nih.gov/25737021/" TargetMode="External"/><Relationship Id="rId13" Type="http://schemas.openxmlformats.org/officeDocument/2006/relationships/hyperlink" Target="https://pubmed.ncbi.nlm.nih.gov/33449225/" TargetMode="External"/><Relationship Id="rId14" Type="http://schemas.openxmlformats.org/officeDocument/2006/relationships/hyperlink" Target="https://www.casproviders.org/asd-guidelines" TargetMode="External"/><Relationship Id="rId15" Type="http://schemas.openxmlformats.org/officeDocument/2006/relationships/hyperlink" Target="https://satepsi.cfp.org.br/" TargetMode="External"/><Relationship Id="rId16" Type="http://schemas.openxmlformats.org/officeDocument/2006/relationships/hyperlink" Target="https://site.cfp.org.br/publicada-nova-resolucao-sobre-elaboracao-de-documentos-escritos/" TargetMode="External"/><Relationship Id="rId17" Type="http://schemas.openxmlformats.org/officeDocument/2006/relationships/hyperlink" Target="https://www.planalto.gov.br/ccivil_03/_ato2015-2018/2018/lei/l13709.htm" TargetMode="External"/><Relationship Id="rId18" Type="http://schemas.openxmlformats.org/officeDocument/2006/relationships/hyperlink" Target="https://www.gov.br/anpd/pt-br/assuntos/noticias/anpd-divulga-enunciado-sobre-o-tratamento-de-dados-pessoais-de-criancas-e-adolescentes" TargetMode="External"/><Relationship Id="rId19" Type="http://schemas.openxmlformats.org/officeDocument/2006/relationships/hyperlink" Target="https://www.gov.br/anpd/pt-br/assuntos/noticias/anpd-aprova-o-regulamento-de-comunicacao-de-incidente-de-seguranca" TargetMode="External"/><Relationship Id="rId20" Type="http://schemas.openxmlformats.org/officeDocument/2006/relationships/hyperlink" Target="https://transparencia.cfp.org.br/crp12/pergunta-frequente/atendimentopsicologicoonline/" TargetMode="External"/><Relationship Id="rId21" Type="http://schemas.openxmlformats.org/officeDocument/2006/relationships/hyperlink" Target="https://www.w3.org/WAI/news/2023-10-05/wcag22rec/" TargetMode="External"/><Relationship Id="rId22" Type="http://schemas.openxmlformats.org/officeDocument/2006/relationships/hyperlink" Target="https://www.nist.gov/publications/nist-cybersecurity-framework-csf-20" TargetMode="External"/><Relationship Id="rId23" Type="http://schemas.openxmlformats.org/officeDocument/2006/relationships/hyperlink" Target="https://owasp.org/projects/asvs/" TargetMode="External"/><Relationship Id="rId24" Type="http://schemas.openxmlformats.org/officeDocument/2006/relationships/hyperlink" Target="https://supabase.com/docs/guides/database/postgres/row-level-security" TargetMode="External"/><Relationship Id="rId25" Type="http://schemas.openxmlformats.org/officeDocument/2006/relationships/hyperlink" Target="https://supabase.com/docs/guides/platform/regions" TargetMode="External"/><Relationship Id="rId26" Type="http://schemas.openxmlformats.org/officeDocument/2006/relationships/hyperlink" Target="https://www.casproviders.org/practice-parameters-for-ai" TargetMode="External"/><Relationship Id="rId27" Type="http://schemas.openxmlformats.org/officeDocument/2006/relationships/hyperlink" Target="https://www.hl7.org/fhir/R5/" TargetMode="External"/><Relationship Id="rId28" Type="http://schemas.openxmlformats.org/officeDocument/2006/relationships/hyperlink" Target="https://www.gov.br/saude/pt-br/composicao/seidigi/rnds" TargetMode="External"/><Relationship Id="rId29" Type="http://schemas.openxmlformats.org/officeDocument/2006/relationships/hyperlink" Target="https://rnds-fhir.saude.gov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PsicoPlay — Especificação Funcional, Clínica, Técnica e de Segurança</dc:title>
  <dc:subject>Plataforma clínica integrada para ABA/NDBI/ESDM, jogos terapêuticos e gestão de dados</dc:subject>
  <dc:creator>OpenAI</dc:creator>
  <cp:keywords>PsicoPlay, ABA, ESDM, NDBI, psicologia, Supabase, LGPD, jogos terapêuticos, arquitetura clínica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