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2A3A"/>
          <w:sz w:val="52"/>
          <w:szCs w:val="52"/>
        </w:rPr>
        <w:t xml:space="preserve">Incoherence Scaling &amp;</w:t>
      </w:r>
    </w:p>
    <w:p>
      <w:pPr>
        <w:spacing w:after="200"/>
        <w:jc w:val="center"/>
      </w:pPr>
      <w:r>
        <w:rPr>
          <w:rFonts w:ascii="Arial" w:cs="Arial" w:eastAsia="Arial" w:hAnsi="Arial"/>
          <w:b/>
          <w:bCs/>
          <w:color w:val="1A2A3A"/>
          <w:sz w:val="52"/>
          <w:szCs w:val="52"/>
        </w:rPr>
        <w:t xml:space="preserve">Governance Module</w:t>
      </w:r>
    </w:p>
    <w:p>
      <w:pPr>
        <w:spacing w:after="80"/>
      </w:pPr>
    </w:p>
    <w:p>
      <w:pPr>
        <w:spacing w:after="120"/>
        <w:jc w:val="center"/>
      </w:pPr>
      <w:r>
        <w:rPr>
          <w:rFonts w:ascii="Arial" w:cs="Arial" w:eastAsia="Arial" w:hAnsi="Arial"/>
          <w:color w:val="555555"/>
          <w:sz w:val="28"/>
          <w:szCs w:val="28"/>
        </w:rPr>
        <w:t xml:space="preserve">Revised Implementation Plan for distributional-agi-safety</w:t>
      </w:r>
    </w:p>
    <w:p>
      <w:pPr>
        <w:spacing w:after="80"/>
      </w:pPr>
    </w:p>
    <w:p>
      <w:pPr>
        <w:spacing w:after="60"/>
        <w:jc w:val="center"/>
      </w:pPr>
      <w:r>
        <w:rPr>
          <w:rFonts w:ascii="Arial" w:cs="Arial" w:eastAsia="Arial" w:hAnsi="Arial"/>
          <w:color w:val="777777"/>
          <w:sz w:val="22"/>
          <w:szCs w:val="22"/>
        </w:rPr>
        <w:t xml:space="preserve">February 2026</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888888"/>
          <w:sz w:val="20"/>
          <w:szCs w:val="20"/>
        </w:rPr>
        <w:t xml:space="preserve">Integrates bias-variance incoherence measurement from</w:t>
      </w:r>
    </w:p>
    <w:p>
      <w:pPr>
        <w:spacing w:after="80"/>
        <w:jc w:val="center"/>
      </w:pPr>
      <w:r>
        <w:rPr>
          <w:rFonts w:ascii="Arial" w:cs="Arial" w:eastAsia="Arial" w:hAnsi="Arial"/>
          <w:i/>
          <w:iCs/>
          <w:color w:val="888888"/>
          <w:sz w:val="20"/>
          <w:szCs w:val="20"/>
        </w:rPr>
        <w:t xml:space="preserve">The Hot Mess of AI (Hägele et al., 2026)</w:t>
      </w:r>
    </w:p>
    <w:p>
      <w:pPr>
        <w:spacing w:after="80"/>
        <w:jc w:val="center"/>
      </w:pPr>
      <w:r>
        <w:rPr>
          <w:rFonts w:ascii="Arial" w:cs="Arial" w:eastAsia="Arial" w:hAnsi="Arial"/>
          <w:color w:val="888888"/>
          <w:sz w:val="20"/>
          <w:szCs w:val="20"/>
        </w:rPr>
        <w:t xml:space="preserve">into the distributional-agi-safety sandbox framework</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plan adds incoherence measurement, stress testing, and variance-aware governance to the distributional-agi-safety sandbox. It is organized into five sequential phases, each producing a shippable increment. The design is motivated by the empirical finding that AI failures on complex tasks are increasingly dominated by variance (incoherence) rather than systematic bias, and that scaling alone does not eliminate this tendency on hard problems.</w:t>
      </w:r>
    </w:p>
    <w:p>
      <w:pPr>
        <w:spacing w:after="120"/>
      </w:pPr>
      <w:r>
        <w:rPr>
          <w:rFonts w:ascii="Arial" w:cs="Arial" w:eastAsia="Arial" w:hAnsi="Arial"/>
          <w:sz w:val="22"/>
          <w:szCs w:val="22"/>
        </w:rPr>
        <w:t xml:space="preserve">The core contribution: the sandbox becomes the first multi-agent environment that specifically governs for hot-mess failure modes—not just misaligned optimization—across a population of heterogeneous agent types.</w:t>
      </w:r>
    </w:p>
    <w:p>
      <w:pPr>
        <w:pStyle w:val="Heading1"/>
      </w:pPr>
      <w:r>
        <w:t xml:space="preserve">2  Theoretical Grounding</w:t>
      </w:r>
    </w:p>
    <w:p>
      <w:pPr>
        <w:pStyle w:val="Heading2"/>
      </w:pPr>
      <w:r>
        <w:t xml:space="preserve">2.1  Bias-Variance Decomposition of Agent Error</w:t>
      </w:r>
    </w:p>
    <w:p>
      <w:pPr>
        <w:spacing w:after="120"/>
      </w:pPr>
      <w:r>
        <w:rPr>
          <w:rFonts w:ascii="Arial" w:cs="Arial" w:eastAsia="Arial" w:hAnsi="Arial"/>
          <w:sz w:val="22"/>
          <w:szCs w:val="22"/>
        </w:rPr>
        <w:t xml:space="preserve">For any decision point d with ground-truth action a*, we decompose error across K replays of the same scenario s with controlled randomness:</w:t>
      </w:r>
    </w:p>
    <w:p>
      <w:pPr>
        <w:spacing w:after="80"/>
      </w:pPr>
    </w:p>
    <w:p>
      <w:pPr>
        <w:shd w:fill="F5F5F5" w:val="clear"/>
        <w:spacing w:after="100"/>
        <w:ind w:left="360"/>
      </w:pPr>
      <w:r>
        <w:rPr>
          <w:rFonts w:ascii="Courier New" w:cs="Courier New" w:eastAsia="Courier New" w:hAnsi="Courier New"/>
          <w:sz w:val="20"/>
          <w:szCs w:val="20"/>
        </w:rPr>
        <w:t xml:space="preserve">Error_s  = E_k[ 1(a_{s,k} ≠ a*_s) ]        (error rate / regret)</w:t>
      </w:r>
    </w:p>
    <w:p>
      <w:pPr>
        <w:shd w:fill="F5F5F5" w:val="clear"/>
        <w:spacing w:after="100"/>
        <w:ind w:left="360"/>
      </w:pPr>
      <w:r>
        <w:rPr>
          <w:rFonts w:ascii="Courier New" w:cs="Courier New" w:eastAsia="Courier New" w:hAnsi="Courier New"/>
          <w:sz w:val="20"/>
          <w:szCs w:val="20"/>
        </w:rPr>
        <w:t xml:space="preserve">D_s      = Var_k( a_{s,k} )                 (disagreement / variance)</w:t>
      </w:r>
    </w:p>
    <w:p>
      <w:pPr>
        <w:shd w:fill="F5F5F5" w:val="clear"/>
        <w:spacing w:after="100"/>
        <w:ind w:left="360"/>
      </w:pPr>
      <w:r>
        <w:rPr>
          <w:rFonts w:ascii="Courier New" w:cs="Courier New" w:eastAsia="Courier New" w:hAnsi="Courier New"/>
          <w:sz w:val="20"/>
          <w:szCs w:val="20"/>
        </w:rPr>
        <w:t xml:space="preserve">I_s      = D_s / (Error_s + ε)              (incoherence index)</w:t>
      </w:r>
    </w:p>
    <w:p>
      <w:pPr>
        <w:spacing w:after="80"/>
      </w:pPr>
    </w:p>
    <w:p>
      <w:pPr>
        <w:spacing w:after="120"/>
      </w:pPr>
      <w:r>
        <w:rPr>
          <w:rFonts w:ascii="Arial" w:cs="Arial" w:eastAsia="Arial" w:hAnsi="Arial"/>
          <w:sz w:val="22"/>
          <w:szCs w:val="22"/>
        </w:rPr>
        <w:t xml:space="preserve">An incoherence index near 0 means all errors are systematic (classic misalignment risk). Near 1 means all errors are random (hot-mess failure). This metric is independent of overall performance: a model can improve while becoming more or less coherent.</w:t>
      </w:r>
    </w:p>
    <w:p>
      <w:pPr>
        <w:pStyle w:val="Heading2"/>
      </w:pPr>
      <w:r>
        <w:t xml:space="preserve">2.2  Why This Matters for Multi-Agent Governance</w:t>
      </w:r>
    </w:p>
    <w:p>
      <w:pPr>
        <w:spacing w:after="120"/>
      </w:pPr>
      <w:r>
        <w:rPr>
          <w:rFonts w:ascii="Arial" w:cs="Arial" w:eastAsia="Arial" w:hAnsi="Arial"/>
          <w:sz w:val="22"/>
          <w:szCs w:val="22"/>
        </w:rPr>
        <w:t xml:space="preserve">The sandbox already models honest, opportunistic, deceptive, and adversarial agent types. Incoherence creates a critical asymmetry: deceptive and adversarial agents may remain coherent (goal-directed) even under task complexity, while honest agents degrade into unreliable behavior. Governance must therefore handle two qualitatively different failure modes simultaneously—coherent adversaries and incoherent benign agents—and avoid penalizing the latter for noise that looks like malfeasance.</w:t>
      </w:r>
    </w:p>
    <w:p>
      <w:pPr>
        <w:pStyle w:val="Heading2"/>
      </w:pPr>
      <w:r>
        <w:t xml:space="preserve">2.3  Connection to Existing Sandbox Architecture</w:t>
      </w:r>
    </w:p>
    <w:p>
      <w:pPr>
        <w:spacing w:after="120"/>
      </w:pPr>
      <w:r>
        <w:rPr>
          <w:rFonts w:ascii="Arial" w:cs="Arial" w:eastAsia="Arial" w:hAnsi="Arial"/>
          <w:sz w:val="22"/>
          <w:szCs w:val="22"/>
        </w:rPr>
        <w:t xml:space="preserve">The sandbox’s soft-label framework (probabilistic p rather than binary labels) is a natural fit for variance measurement. The existing SweepRunner already parameterizes runs over seeds. The governance engine’s lever abstraction can accommodate new variance-aware interventions without architectural changes. This plan exploits these affordances rather than redesigning core infrastructure.</w:t>
      </w:r>
    </w:p>
    <w:p>
      <w:pPr>
        <w:pStyle w:val="Heading1"/>
      </w:pPr>
      <w:r>
        <w:t xml:space="preserve">3  Phased Implementation</w:t>
      </w:r>
    </w:p>
    <w:p>
      <w:pPr>
        <w:pStyle w:val="Heading2"/>
      </w:pPr>
      <w:r>
        <w:t xml:space="preserve">Phase 1: Replay Infrastructure &amp; Incoherence Metrics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Make incoherence measurable within the existing orchestrator and metrics pipeline.</w:t>
      </w:r>
    </w:p>
    <w:p>
      <w:pPr>
        <w:spacing w:after="120"/>
      </w:pPr>
      <w:r>
        <w:rPr>
          <w:rFonts w:ascii="Arial" w:cs="Arial" w:eastAsia="Arial" w:hAnsi="Arial"/>
          <w:sz w:val="22"/>
          <w:szCs w:val="22"/>
        </w:rPr>
        <w:t xml:space="preserve">This phase adds no new agent behaviors or governance levers—it instruments what already exists.</w:t>
      </w:r>
    </w:p>
    <w:p>
      <w:pPr>
        <w:pStyle w:val="Heading3"/>
      </w:pPr>
      <w:r>
        <w:t xml:space="preserve">3.1.1  ReplayRunner</w:t>
      </w:r>
    </w:p>
    <w:p>
      <w:pPr>
        <w:spacing w:after="120"/>
      </w:pPr>
      <w:r>
        <w:rPr>
          <w:rFonts w:ascii="Arial" w:cs="Arial" w:eastAsia="Arial" w:hAnsi="Arial"/>
          <w:sz w:val="22"/>
          <w:szCs w:val="22"/>
        </w:rPr>
        <w:t xml:space="preserve">Extend OrchestratorConfig to accept a replay_k parameter (default 1, set to 8–16 for experiments). For a given EpisodeSpec (scenario YAML + seed), ReplayRunner executes K independent runs varying only the random seed and any stochastic tie-breaking in agent policies. It collects per-step action logs, per-episode outcomes, and per-agent payoff sequences.</w:t>
      </w:r>
    </w:p>
    <w:p>
      <w:pPr>
        <w:spacing w:after="120"/>
      </w:pPr>
      <w:r>
        <w:rPr>
          <w:rFonts w:ascii="Arial" w:cs="Arial" w:eastAsia="Arial" w:hAnsi="Arial"/>
          <w:sz w:val="22"/>
          <w:szCs w:val="22"/>
        </w:rPr>
        <w:t xml:space="preserve">Implementation: a thin wrapper around the existing SweepRunner. Each “sweep point” is a seed value; all other parameters are held fixed. Output: K parallel event logs for the same scenario.</w:t>
      </w:r>
    </w:p>
    <w:p>
      <w:pPr>
        <w:pStyle w:val="Heading3"/>
      </w:pPr>
      <w:r>
        <w:t xml:space="preserve">3.1.2  Incoherence Metrics Module</w:t>
      </w:r>
    </w:p>
    <w:p>
      <w:pPr>
        <w:spacing w:after="120"/>
      </w:pPr>
      <w:r>
        <w:rPr>
          <w:rFonts w:ascii="Arial" w:cs="Arial" w:eastAsia="Arial" w:hAnsi="Arial"/>
          <w:sz w:val="22"/>
          <w:szCs w:val="22"/>
        </w:rPr>
        <w:t xml:space="preserve">Add to src/metrics/incoherence.py:</w:t>
      </w:r>
    </w:p>
    <w:p>
      <w:pPr>
        <w:pStyle w:val="ListParagraph"/>
        <w:numPr>
          <w:ilvl w:val="0"/>
          <w:numId w:val="2"/>
        </w:numPr>
        <w:spacing w:after="60"/>
      </w:pPr>
      <w:r>
        <w:rPr>
          <w:rFonts w:ascii="Arial" w:cs="Arial" w:eastAsia="Arial" w:hAnsi="Arial"/>
          <w:sz w:val="22"/>
          <w:szCs w:val="22"/>
        </w:rPr>
        <w:t xml:space="preserve">Per-agent action disagreement: for each decision step, compute the empirical action distribution across K replays and measure entropy or variance.</w:t>
      </w:r>
    </w:p>
    <w:p>
      <w:pPr>
        <w:pStyle w:val="ListParagraph"/>
        <w:numPr>
          <w:ilvl w:val="0"/>
          <w:numId w:val="2"/>
        </w:numPr>
        <w:spacing w:after="60"/>
      </w:pPr>
      <w:r>
        <w:rPr>
          <w:rFonts w:ascii="Arial" w:cs="Arial" w:eastAsia="Arial" w:hAnsi="Arial"/>
          <w:sz w:val="22"/>
          <w:szCs w:val="22"/>
        </w:rPr>
        <w:t xml:space="preserve">Per-agent error rate: fraction of actions that differ from the benchmark policy (ground truth or best-known heuristic).</w:t>
      </w:r>
    </w:p>
    <w:p>
      <w:pPr>
        <w:pStyle w:val="ListParagraph"/>
        <w:numPr>
          <w:ilvl w:val="0"/>
          <w:numId w:val="2"/>
        </w:numPr>
        <w:spacing w:after="60"/>
      </w:pPr>
      <w:r>
        <w:rPr>
          <w:rFonts w:ascii="Arial" w:cs="Arial" w:eastAsia="Arial" w:hAnsi="Arial"/>
          <w:sz w:val="22"/>
          <w:szCs w:val="22"/>
        </w:rPr>
        <w:t xml:space="preserve">Incoherence index: D / (E + ε) at per-agent, per-task-family, and system-aggregate levels.</w:t>
      </w:r>
    </w:p>
    <w:p>
      <w:pPr>
        <w:pStyle w:val="ListParagraph"/>
        <w:numPr>
          <w:ilvl w:val="0"/>
          <w:numId w:val="2"/>
        </w:numPr>
        <w:spacing w:after="60"/>
      </w:pPr>
      <w:r>
        <w:rPr>
          <w:rFonts w:ascii="Arial" w:cs="Arial" w:eastAsia="Arial" w:hAnsi="Arial"/>
          <w:sz w:val="22"/>
          <w:szCs w:val="22"/>
        </w:rPr>
        <w:t xml:space="preserve">Output integrates with the existing MetricsReporter—new columns in the per-epoch summary.</w:t>
      </w:r>
    </w:p>
    <w:p>
      <w:pPr>
        <w:pStyle w:val="Heading3"/>
      </w:pPr>
      <w:r>
        <w:t xml:space="preserve">3.1.3  Dashboard Metrics</w:t>
      </w:r>
    </w:p>
    <w:p>
      <w:pPr>
        <w:spacing w:after="120"/>
      </w:pPr>
      <w:r>
        <w:rPr>
          <w:rFonts w:ascii="Arial" w:cs="Arial" w:eastAsia="Arial" w:hAnsi="Arial"/>
          <w:sz w:val="22"/>
          <w:szCs w:val="22"/>
        </w:rPr>
        <w:t xml:space="preserve">Extend the planned Streamlit dashboard (from MVP v1 roadmap) with an incoherence panel showing: per-agent incoherence over epochs, system-level incoherence trend, and a scatter plot of error rate vs. disagreement colored by agent type.</w:t>
      </w:r>
    </w:p>
    <w:p>
      <w:pPr>
        <w:pStyle w:val="Heading3"/>
      </w:pPr>
      <w:r>
        <w:t xml:space="preserve">3.1.4  Deliverables</w:t>
      </w:r>
    </w:p>
    <w:p>
      <w:pPr>
        <w:pStyle w:val="ListParagraph"/>
        <w:numPr>
          <w:ilvl w:val="0"/>
          <w:numId w:val="2"/>
        </w:numPr>
        <w:spacing w:after="60"/>
      </w:pPr>
      <w:r>
        <w:rPr>
          <w:rFonts w:ascii="Arial" w:cs="Arial" w:eastAsia="Arial" w:hAnsi="Arial"/>
          <w:sz w:val="22"/>
          <w:szCs w:val="22"/>
        </w:rPr>
        <w:t xml:space="preserve">ReplayRunner class with K-replay support</w:t>
      </w:r>
    </w:p>
    <w:p>
      <w:pPr>
        <w:pStyle w:val="ListParagraph"/>
        <w:numPr>
          <w:ilvl w:val="0"/>
          <w:numId w:val="2"/>
        </w:numPr>
        <w:spacing w:after="60"/>
      </w:pPr>
      <w:r>
        <w:rPr>
          <w:rFonts w:ascii="Arial" w:cs="Arial" w:eastAsia="Arial" w:hAnsi="Arial"/>
          <w:sz w:val="22"/>
          <w:szCs w:val="22"/>
        </w:rPr>
        <w:t xml:space="preserve">IncoherenceMetrics class computing D, E, I per agent and system-level</w:t>
      </w:r>
    </w:p>
    <w:p>
      <w:pPr>
        <w:pStyle w:val="ListParagraph"/>
        <w:numPr>
          <w:ilvl w:val="0"/>
          <w:numId w:val="2"/>
        </w:numPr>
        <w:spacing w:after="60"/>
      </w:pPr>
      <w:r>
        <w:rPr>
          <w:rFonts w:ascii="Arial" w:cs="Arial" w:eastAsia="Arial" w:hAnsi="Arial"/>
          <w:sz w:val="22"/>
          <w:szCs w:val="22"/>
        </w:rPr>
        <w:t xml:space="preserve">Updated MetricsReporter with incoherence columns</w:t>
      </w:r>
    </w:p>
    <w:p>
      <w:pPr>
        <w:pStyle w:val="ListParagraph"/>
        <w:numPr>
          <w:ilvl w:val="0"/>
          <w:numId w:val="2"/>
        </w:numPr>
        <w:spacing w:after="60"/>
      </w:pPr>
      <w:r>
        <w:rPr>
          <w:rFonts w:ascii="Arial" w:cs="Arial" w:eastAsia="Arial" w:hAnsi="Arial"/>
          <w:sz w:val="22"/>
          <w:szCs w:val="22"/>
        </w:rPr>
        <w:t xml:space="preserve">Tests confirming known-variance scenarios produce expected I values</w:t>
      </w:r>
    </w:p>
    <w:p>
      <w:pPr>
        <w:spacing w:after="80"/>
      </w:pPr>
    </w:p>
    <w:p>
      <w:pPr>
        <w:spacing w:after="120"/>
      </w:pPr>
      <w:r>
        <w:rPr>
          <w:rFonts w:ascii="Arial" w:cs="Arial" w:eastAsia="Arial" w:hAnsi="Arial"/>
          <w:b/>
          <w:bCs/>
          <w:sz w:val="22"/>
          <w:szCs w:val="22"/>
        </w:rPr>
        <w:t xml:space="preserve">Estimated scope: </w:t>
      </w:r>
      <w:r>
        <w:rPr>
          <w:rFonts w:ascii="Arial" w:cs="Arial" w:eastAsia="Arial" w:hAnsi="Arial"/>
          <w:sz w:val="22"/>
          <w:szCs w:val="22"/>
        </w:rPr>
        <w:t xml:space="preserve">~400 lines of new code. No changes to agent policies, governance engine, or core orchestrator.</w:t>
      </w:r>
    </w:p>
    <w:p>
      <w:r>
        <w:br w:type="page"/>
      </w:r>
    </w:p>
    <w:p>
      <w:pPr>
        <w:pStyle w:val="Heading2"/>
      </w:pPr>
      <w:r>
        <w:t xml:space="preserve">Phase 2: Horizon &amp; Branching Stress Knobs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Produce the hot-mess scaling curve—demonstrating that incoherence rises with task horizon and branching factor even when incentives are fixed.</w:t>
      </w:r>
    </w:p>
    <w:p>
      <w:pPr>
        <w:pStyle w:val="Heading3"/>
      </w:pPr>
      <w:r>
        <w:t xml:space="preserve">3.2.1  Horizon Sweep</w:t>
      </w:r>
    </w:p>
    <w:p>
      <w:pPr>
        <w:spacing w:after="120"/>
      </w:pPr>
      <w:r>
        <w:rPr>
          <w:rFonts w:ascii="Arial" w:cs="Arial" w:eastAsia="Arial" w:hAnsi="Arial"/>
          <w:sz w:val="22"/>
          <w:szCs w:val="22"/>
        </w:rPr>
        <w:t xml:space="preserve">Add a horizon parameter to OrchestratorConfig that caps the number of steps per episode. Define three tiers:</w:t>
      </w:r>
    </w:p>
    <w:p>
      <w:pPr>
        <w:pStyle w:val="ListParagraph"/>
        <w:numPr>
          <w:ilvl w:val="0"/>
          <w:numId w:val="2"/>
        </w:numPr>
        <w:spacing w:after="60"/>
      </w:pPr>
      <w:r>
        <w:rPr>
          <w:rFonts w:ascii="Arial" w:cs="Arial" w:eastAsia="Arial" w:hAnsi="Arial"/>
          <w:sz w:val="22"/>
          <w:szCs w:val="22"/>
        </w:rPr>
        <w:t xml:space="preserve">Short: 1–2 steps (immediate actions: single post, single vote, simple collaboration accept/reject)</w:t>
      </w:r>
    </w:p>
    <w:p>
      <w:pPr>
        <w:pStyle w:val="ListParagraph"/>
        <w:numPr>
          <w:ilvl w:val="0"/>
          <w:numId w:val="2"/>
        </w:numPr>
        <w:spacing w:after="60"/>
      </w:pPr>
      <w:r>
        <w:rPr>
          <w:rFonts w:ascii="Arial" w:cs="Arial" w:eastAsia="Arial" w:hAnsi="Arial"/>
          <w:sz w:val="22"/>
          <w:szCs w:val="22"/>
        </w:rPr>
        <w:t xml:space="preserve">Medium: 5–10 steps (post + reply chain + vote + collaboration with follow-up)</w:t>
      </w:r>
    </w:p>
    <w:p>
      <w:pPr>
        <w:pStyle w:val="ListParagraph"/>
        <w:numPr>
          <w:ilvl w:val="0"/>
          <w:numId w:val="2"/>
        </w:numPr>
        <w:spacing w:after="60"/>
      </w:pPr>
      <w:r>
        <w:rPr>
          <w:rFonts w:ascii="Arial" w:cs="Arial" w:eastAsia="Arial" w:hAnsi="Arial"/>
          <w:sz w:val="22"/>
          <w:szCs w:val="22"/>
        </w:rPr>
        <w:t xml:space="preserve">Long: 15–30 steps (multi-epoch strategy, reputation building, negotiation sequences)</w:t>
      </w:r>
    </w:p>
    <w:p>
      <w:pPr>
        <w:spacing w:after="120"/>
      </w:pPr>
      <w:r>
        <w:rPr>
          <w:rFonts w:ascii="Arial" w:cs="Arial" w:eastAsia="Arial" w:hAnsi="Arial"/>
          <w:sz w:val="22"/>
          <w:szCs w:val="22"/>
        </w:rPr>
        <w:t xml:space="preserve">The existing steps_per_epoch parameter serves this role. Sweep it while holding agent composition and governance config constant.</w:t>
      </w:r>
    </w:p>
    <w:p>
      <w:pPr>
        <w:pStyle w:val="Heading3"/>
      </w:pPr>
      <w:r>
        <w:t xml:space="preserve">3.2.2  Branching Factor Sweep</w:t>
      </w:r>
    </w:p>
    <w:p>
      <w:pPr>
        <w:spacing w:after="120"/>
      </w:pPr>
      <w:r>
        <w:rPr>
          <w:rFonts w:ascii="Arial" w:cs="Arial" w:eastAsia="Arial" w:hAnsi="Arial"/>
          <w:sz w:val="22"/>
          <w:szCs w:val="22"/>
        </w:rPr>
        <w:t xml:space="preserve">Branching factor in the current architecture is determined by agent count (more agents = more possible interactions per step) and action space size. Sweep across:</w:t>
      </w:r>
    </w:p>
    <w:p>
      <w:pPr>
        <w:pStyle w:val="ListParagraph"/>
        <w:numPr>
          <w:ilvl w:val="0"/>
          <w:numId w:val="2"/>
        </w:numPr>
        <w:spacing w:after="60"/>
      </w:pPr>
      <w:r>
        <w:rPr>
          <w:rFonts w:ascii="Arial" w:cs="Arial" w:eastAsia="Arial" w:hAnsi="Arial"/>
          <w:sz w:val="22"/>
          <w:szCs w:val="22"/>
        </w:rPr>
        <w:t xml:space="preserve">2–3 agents (low branching)</w:t>
      </w:r>
    </w:p>
    <w:p>
      <w:pPr>
        <w:pStyle w:val="ListParagraph"/>
        <w:numPr>
          <w:ilvl w:val="0"/>
          <w:numId w:val="2"/>
        </w:numPr>
        <w:spacing w:after="60"/>
      </w:pPr>
      <w:r>
        <w:rPr>
          <w:rFonts w:ascii="Arial" w:cs="Arial" w:eastAsia="Arial" w:hAnsi="Arial"/>
          <w:sz w:val="22"/>
          <w:szCs w:val="22"/>
        </w:rPr>
        <w:t xml:space="preserve">5–7 agents (medium)</w:t>
      </w:r>
    </w:p>
    <w:p>
      <w:pPr>
        <w:pStyle w:val="ListParagraph"/>
        <w:numPr>
          <w:ilvl w:val="0"/>
          <w:numId w:val="2"/>
        </w:numPr>
        <w:spacing w:after="60"/>
      </w:pPr>
      <w:r>
        <w:rPr>
          <w:rFonts w:ascii="Arial" w:cs="Arial" w:eastAsia="Arial" w:hAnsi="Arial"/>
          <w:sz w:val="22"/>
          <w:szCs w:val="22"/>
        </w:rPr>
        <w:t xml:space="preserve">10–15 agents (high, with proportional type mix)</w:t>
      </w:r>
    </w:p>
    <w:p>
      <w:pPr>
        <w:spacing w:after="120"/>
      </w:pPr>
      <w:r>
        <w:rPr>
          <w:rFonts w:ascii="Arial" w:cs="Arial" w:eastAsia="Arial" w:hAnsi="Arial"/>
          <w:sz w:val="22"/>
          <w:szCs w:val="22"/>
        </w:rPr>
        <w:t xml:space="preserve">Additionally, introduce a noise parameter to agent observation functions—adding stochastic signal corruption that increases the set of plausible actions per step without changing the ground truth.</w:t>
      </w:r>
    </w:p>
    <w:p>
      <w:pPr>
        <w:pStyle w:val="Heading3"/>
      </w:pPr>
      <w:r>
        <w:t xml:space="preserve">3.2.3  Experiment A: Scaling Curve</w:t>
      </w:r>
    </w:p>
    <w:p>
      <w:pPr>
        <w:spacing w:after="120"/>
      </w:pPr>
      <w:r>
        <w:rPr>
          <w:rFonts w:ascii="Arial" w:cs="Arial" w:eastAsia="Arial" w:hAnsi="Arial"/>
          <w:sz w:val="22"/>
          <w:szCs w:val="22"/>
        </w:rPr>
        <w:t xml:space="preserve">The primary output of this phase. For each (horizon tier, branching level) combination:</w:t>
      </w:r>
    </w:p>
    <w:p>
      <w:pPr>
        <w:pStyle w:val="ListParagraph"/>
        <w:numPr>
          <w:ilvl w:val="0"/>
          <w:numId w:val="2"/>
        </w:numPr>
        <w:spacing w:after="60"/>
      </w:pPr>
      <w:r>
        <w:rPr>
          <w:rFonts w:ascii="Arial" w:cs="Arial" w:eastAsia="Arial" w:hAnsi="Arial"/>
          <w:sz w:val="22"/>
          <w:szCs w:val="22"/>
        </w:rPr>
        <w:t xml:space="preserve">Run K=16 replays per scenario</w:t>
      </w:r>
    </w:p>
    <w:p>
      <w:pPr>
        <w:pStyle w:val="ListParagraph"/>
        <w:numPr>
          <w:ilvl w:val="0"/>
          <w:numId w:val="2"/>
        </w:numPr>
        <w:spacing w:after="60"/>
      </w:pPr>
      <w:r>
        <w:rPr>
          <w:rFonts w:ascii="Arial" w:cs="Arial" w:eastAsia="Arial" w:hAnsi="Arial"/>
          <w:sz w:val="22"/>
          <w:szCs w:val="22"/>
        </w:rPr>
        <w:t xml:space="preserve">Compute error, disagreement, and incoherence index per agent type</w:t>
      </w:r>
    </w:p>
    <w:p>
      <w:pPr>
        <w:pStyle w:val="ListParagraph"/>
        <w:numPr>
          <w:ilvl w:val="0"/>
          <w:numId w:val="2"/>
        </w:numPr>
        <w:spacing w:after="60"/>
      </w:pPr>
      <w:r>
        <w:rPr>
          <w:rFonts w:ascii="Arial" w:cs="Arial" w:eastAsia="Arial" w:hAnsi="Arial"/>
          <w:sz w:val="22"/>
          <w:szCs w:val="22"/>
        </w:rPr>
        <w:t xml:space="preserve">Plot: I vs. horizon at fixed branching; I vs. branching at fixed horizon</w:t>
      </w:r>
    </w:p>
    <w:p>
      <w:pPr>
        <w:spacing w:after="120"/>
      </w:pPr>
      <w:r>
        <w:rPr>
          <w:rFonts w:ascii="Arial" w:cs="Arial" w:eastAsia="Arial" w:hAnsi="Arial"/>
          <w:sz w:val="22"/>
          <w:szCs w:val="22"/>
        </w:rPr>
        <w:t xml:space="preserve">Prediction to validate: incoherence index rises sharply with horizon and branching, even when the reward function and governance config are unchanged. This replicates the core finding from the Hot Mess paper in a multi-agent economic setting.</w:t>
      </w:r>
    </w:p>
    <w:p>
      <w:pPr>
        <w:pStyle w:val="Heading3"/>
      </w:pPr>
      <w:r>
        <w:t xml:space="preserve">3.2.4  Deliverables</w:t>
      </w:r>
    </w:p>
    <w:p>
      <w:pPr>
        <w:pStyle w:val="ListParagraph"/>
        <w:numPr>
          <w:ilvl w:val="0"/>
          <w:numId w:val="2"/>
        </w:numPr>
        <w:spacing w:after="60"/>
      </w:pPr>
      <w:r>
        <w:rPr>
          <w:rFonts w:ascii="Arial" w:cs="Arial" w:eastAsia="Arial" w:hAnsi="Arial"/>
          <w:sz w:val="22"/>
          <w:szCs w:val="22"/>
        </w:rPr>
        <w:t xml:space="preserve">Horizon/branching sweep configs (YAML scenarios)</w:t>
      </w:r>
    </w:p>
    <w:p>
      <w:pPr>
        <w:pStyle w:val="ListParagraph"/>
        <w:numPr>
          <w:ilvl w:val="0"/>
          <w:numId w:val="2"/>
        </w:numPr>
        <w:spacing w:after="60"/>
      </w:pPr>
      <w:r>
        <w:rPr>
          <w:rFonts w:ascii="Arial" w:cs="Arial" w:eastAsia="Arial" w:hAnsi="Arial"/>
          <w:sz w:val="22"/>
          <w:szCs w:val="22"/>
        </w:rPr>
        <w:t xml:space="preserve">Noise injection in agent observation pipeline</w:t>
      </w:r>
    </w:p>
    <w:p>
      <w:pPr>
        <w:pStyle w:val="ListParagraph"/>
        <w:numPr>
          <w:ilvl w:val="0"/>
          <w:numId w:val="2"/>
        </w:numPr>
        <w:spacing w:after="60"/>
      </w:pPr>
      <w:r>
        <w:rPr>
          <w:rFonts w:ascii="Arial" w:cs="Arial" w:eastAsia="Arial" w:hAnsi="Arial"/>
          <w:sz w:val="22"/>
          <w:szCs w:val="22"/>
        </w:rPr>
        <w:t xml:space="preserve">Scaling curve plots and analysis notebook</w:t>
      </w:r>
    </w:p>
    <w:p>
      <w:pPr>
        <w:pStyle w:val="ListParagraph"/>
        <w:numPr>
          <w:ilvl w:val="0"/>
          <w:numId w:val="2"/>
        </w:numPr>
        <w:spacing w:after="60"/>
      </w:pPr>
      <w:r>
        <w:rPr>
          <w:rFonts w:ascii="Arial" w:cs="Arial" w:eastAsia="Arial" w:hAnsi="Arial"/>
          <w:sz w:val="22"/>
          <w:szCs w:val="22"/>
        </w:rPr>
        <w:t xml:space="preserve">Written analysis comparing results to the single-agent findings in the literature</w:t>
      </w:r>
    </w:p>
    <w:p>
      <w:pPr>
        <w:spacing w:after="80"/>
      </w:pPr>
    </w:p>
    <w:p>
      <w:pPr>
        <w:spacing w:after="120"/>
      </w:pPr>
      <w:r>
        <w:rPr>
          <w:rFonts w:ascii="Arial" w:cs="Arial" w:eastAsia="Arial" w:hAnsi="Arial"/>
          <w:b/>
          <w:bCs/>
          <w:sz w:val="22"/>
          <w:szCs w:val="22"/>
        </w:rPr>
        <w:t xml:space="preserve">Estimated scope: </w:t>
      </w:r>
      <w:r>
        <w:rPr>
          <w:rFonts w:ascii="Arial" w:cs="Arial" w:eastAsia="Arial" w:hAnsi="Arial"/>
          <w:sz w:val="22"/>
          <w:szCs w:val="22"/>
        </w:rPr>
        <w:t xml:space="preserve">~250 lines new code + scenario YAML + analysis notebook.</w:t>
      </w:r>
    </w:p>
    <w:p>
      <w:r>
        <w:br w:type="page"/>
      </w:r>
    </w:p>
    <w:p>
      <w:pPr>
        <w:pStyle w:val="Heading2"/>
      </w:pPr>
      <w:r>
        <w:t xml:space="preserve">Phase 3: Agent Type × Incoherence Analysis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Test the hypothesis that deceptive/adversarial agents remain more coherent than honest agents under complexity pressure, and characterize the governance implications.</w:t>
      </w:r>
    </w:p>
    <w:p>
      <w:pPr>
        <w:pStyle w:val="Heading3"/>
      </w:pPr>
      <w:r>
        <w:t xml:space="preserve">3.3.1  Experiment B: Agent Types × Incoherence</w:t>
      </w:r>
    </w:p>
    <w:p>
      <w:pPr>
        <w:spacing w:after="120"/>
      </w:pPr>
      <w:r>
        <w:rPr>
          <w:rFonts w:ascii="Arial" w:cs="Arial" w:eastAsia="Arial" w:hAnsi="Arial"/>
          <w:sz w:val="22"/>
          <w:szCs w:val="22"/>
        </w:rPr>
        <w:t xml:space="preserve">Using the scaling curve infrastructure from Phase 2, decompose results by agent type:</w:t>
      </w:r>
    </w:p>
    <w:p>
      <w:pPr>
        <w:pStyle w:val="ListParagraph"/>
        <w:numPr>
          <w:ilvl w:val="0"/>
          <w:numId w:val="2"/>
        </w:numPr>
        <w:spacing w:after="60"/>
      </w:pPr>
      <w:r>
        <w:rPr>
          <w:rFonts w:ascii="Arial" w:cs="Arial" w:eastAsia="Arial" w:hAnsi="Arial"/>
          <w:sz w:val="22"/>
          <w:szCs w:val="22"/>
        </w:rPr>
        <w:t xml:space="preserve">Honest agents: expected to show rising incoherence as horizons extend (they lack a single overriding objective to anchor behavior).</w:t>
      </w:r>
    </w:p>
    <w:p>
      <w:pPr>
        <w:pStyle w:val="ListParagraph"/>
        <w:numPr>
          <w:ilvl w:val="0"/>
          <w:numId w:val="2"/>
        </w:numPr>
        <w:spacing w:after="60"/>
      </w:pPr>
      <w:r>
        <w:rPr>
          <w:rFonts w:ascii="Arial" w:cs="Arial" w:eastAsia="Arial" w:hAnsi="Arial"/>
          <w:sz w:val="22"/>
          <w:szCs w:val="22"/>
        </w:rPr>
        <w:t xml:space="preserve">Opportunistic agents: moderate incoherence (payoff-maximizing behavior provides some anchoring, but short-term greed creates noisy switching).</w:t>
      </w:r>
    </w:p>
    <w:p>
      <w:pPr>
        <w:pStyle w:val="ListParagraph"/>
        <w:numPr>
          <w:ilvl w:val="0"/>
          <w:numId w:val="2"/>
        </w:numPr>
        <w:spacing w:after="60"/>
      </w:pPr>
      <w:r>
        <w:rPr>
          <w:rFonts w:ascii="Arial" w:cs="Arial" w:eastAsia="Arial" w:hAnsi="Arial"/>
          <w:sz w:val="22"/>
          <w:szCs w:val="22"/>
        </w:rPr>
        <w:t xml:space="preserve">Deceptive agents: hypothesized to show lower incoherence even at long horizons (trust-then-exploit is a coherent multi-step strategy).</w:t>
      </w:r>
    </w:p>
    <w:p>
      <w:pPr>
        <w:pStyle w:val="ListParagraph"/>
        <w:numPr>
          <w:ilvl w:val="0"/>
          <w:numId w:val="2"/>
        </w:numPr>
        <w:spacing w:after="60"/>
      </w:pPr>
      <w:r>
        <w:rPr>
          <w:rFonts w:ascii="Arial" w:cs="Arial" w:eastAsia="Arial" w:hAnsi="Arial"/>
          <w:sz w:val="22"/>
          <w:szCs w:val="22"/>
        </w:rPr>
        <w:t xml:space="preserve">Adversarial agents: hypothesized to show lowest incoherence (targeted disruption provides strong goal-directedness).</w:t>
      </w:r>
    </w:p>
    <w:p>
      <w:pPr>
        <w:pStyle w:val="Heading3"/>
      </w:pPr>
      <w:r>
        <w:t xml:space="preserve">3.3.2  Dual-Failure-Mode Analysis</w:t>
      </w:r>
    </w:p>
    <w:p>
      <w:pPr>
        <w:spacing w:after="120"/>
      </w:pPr>
      <w:r>
        <w:rPr>
          <w:rFonts w:ascii="Arial" w:cs="Arial" w:eastAsia="Arial" w:hAnsi="Arial"/>
          <w:sz w:val="22"/>
          <w:szCs w:val="22"/>
        </w:rPr>
        <w:t xml:space="preserve">For each governance configuration, categorize safety incidents into:</w:t>
      </w:r>
    </w:p>
    <w:p>
      <w:pPr>
        <w:pStyle w:val="ListParagraph"/>
        <w:numPr>
          <w:ilvl w:val="0"/>
          <w:numId w:val="2"/>
        </w:numPr>
        <w:spacing w:after="60"/>
      </w:pPr>
      <w:r>
        <w:rPr>
          <w:rFonts w:ascii="Arial" w:cs="Arial" w:eastAsia="Arial" w:hAnsi="Arial"/>
          <w:sz w:val="22"/>
          <w:szCs w:val="22"/>
        </w:rPr>
        <w:t xml:space="preserve">Coherent-adversarial incidents: harmful outcomes from agents with low incoherence index (the agent succeeded at doing the wrong thing).</w:t>
      </w:r>
    </w:p>
    <w:p>
      <w:pPr>
        <w:pStyle w:val="ListParagraph"/>
        <w:numPr>
          <w:ilvl w:val="0"/>
          <w:numId w:val="2"/>
        </w:numPr>
        <w:spacing w:after="60"/>
      </w:pPr>
      <w:r>
        <w:rPr>
          <w:rFonts w:ascii="Arial" w:cs="Arial" w:eastAsia="Arial" w:hAnsi="Arial"/>
          <w:sz w:val="22"/>
          <w:szCs w:val="22"/>
        </w:rPr>
        <w:t xml:space="preserve">Incoherent-benign incidents: harmful outcomes from agents with high incoherence index (the agent failed at doing the right thing).</w:t>
      </w:r>
    </w:p>
    <w:p>
      <w:pPr>
        <w:spacing w:after="120"/>
      </w:pPr>
      <w:r>
        <w:rPr>
          <w:rFonts w:ascii="Arial" w:cs="Arial" w:eastAsia="Arial" w:hAnsi="Arial"/>
          <w:sz w:val="22"/>
          <w:szCs w:val="22"/>
        </w:rPr>
        <w:t xml:space="preserve">Track the ratio of these two failure types as a function of task complexity. This ratio is the key decision variable for governance policy selection.</w:t>
      </w:r>
    </w:p>
    <w:p>
      <w:pPr>
        <w:pStyle w:val="Heading3"/>
      </w:pPr>
      <w:r>
        <w:t xml:space="preserve">3.3.3  Deliverables</w:t>
      </w:r>
    </w:p>
    <w:p>
      <w:pPr>
        <w:pStyle w:val="ListParagraph"/>
        <w:numPr>
          <w:ilvl w:val="0"/>
          <w:numId w:val="2"/>
        </w:numPr>
        <w:spacing w:after="60"/>
      </w:pPr>
      <w:r>
        <w:rPr>
          <w:rFonts w:ascii="Arial" w:cs="Arial" w:eastAsia="Arial" w:hAnsi="Arial"/>
          <w:sz w:val="22"/>
          <w:szCs w:val="22"/>
        </w:rPr>
        <w:t xml:space="preserve">Per-type incoherence profiles across the task ladder</w:t>
      </w:r>
    </w:p>
    <w:p>
      <w:pPr>
        <w:pStyle w:val="ListParagraph"/>
        <w:numPr>
          <w:ilvl w:val="0"/>
          <w:numId w:val="2"/>
        </w:numPr>
        <w:spacing w:after="60"/>
      </w:pPr>
      <w:r>
        <w:rPr>
          <w:rFonts w:ascii="Arial" w:cs="Arial" w:eastAsia="Arial" w:hAnsi="Arial"/>
          <w:sz w:val="22"/>
          <w:szCs w:val="22"/>
        </w:rPr>
        <w:t xml:space="preserve">Dual-failure-mode classification and tracking metrics</w:t>
      </w:r>
    </w:p>
    <w:p>
      <w:pPr>
        <w:pStyle w:val="ListParagraph"/>
        <w:numPr>
          <w:ilvl w:val="0"/>
          <w:numId w:val="2"/>
        </w:numPr>
        <w:spacing w:after="60"/>
      </w:pPr>
      <w:r>
        <w:rPr>
          <w:rFonts w:ascii="Arial" w:cs="Arial" w:eastAsia="Arial" w:hAnsi="Arial"/>
          <w:sz w:val="22"/>
          <w:szCs w:val="22"/>
        </w:rPr>
        <w:t xml:space="preserve">Analysis notebook with statistical tests for the coherence asymmetry hypothesis</w:t>
      </w:r>
    </w:p>
    <w:p>
      <w:pPr>
        <w:spacing w:after="80"/>
      </w:pPr>
    </w:p>
    <w:p>
      <w:pPr>
        <w:spacing w:after="120"/>
      </w:pPr>
      <w:r>
        <w:rPr>
          <w:rFonts w:ascii="Arial" w:cs="Arial" w:eastAsia="Arial" w:hAnsi="Arial"/>
          <w:b/>
          <w:bCs/>
          <w:sz w:val="22"/>
          <w:szCs w:val="22"/>
        </w:rPr>
        <w:t xml:space="preserve">Estimated scope: </w:t>
      </w:r>
      <w:r>
        <w:rPr>
          <w:rFonts w:ascii="Arial" w:cs="Arial" w:eastAsia="Arial" w:hAnsi="Arial"/>
          <w:sz w:val="22"/>
          <w:szCs w:val="22"/>
        </w:rPr>
        <w:t xml:space="preserve">~200 lines new code + extensive analysis. Builds entirely on Phase 1–2 infrastructure.</w:t>
      </w:r>
    </w:p>
    <w:p>
      <w:r>
        <w:br w:type="page"/>
      </w:r>
    </w:p>
    <w:p>
      <w:pPr>
        <w:pStyle w:val="Heading2"/>
      </w:pPr>
      <w:r>
        <w:t xml:space="preserve">Phase 4: Variance-Aware Governance Interventions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Add governance levers that specifically target incoherence (not just misaligned incentives), and run a comparative bake-off.</w:t>
      </w:r>
    </w:p>
    <w:p>
      <w:pPr>
        <w:pStyle w:val="Heading3"/>
      </w:pPr>
      <w:r>
        <w:t xml:space="preserve">3.4.1  New Governance Levers</w:t>
      </w:r>
    </w:p>
    <w:p>
      <w:pPr>
        <w:spacing w:after="120"/>
      </w:pPr>
      <w:r>
        <w:rPr>
          <w:rFonts w:ascii="Arial" w:cs="Arial" w:eastAsia="Arial" w:hAnsi="Arial"/>
          <w:sz w:val="22"/>
          <w:szCs w:val="22"/>
        </w:rPr>
        <w:t xml:space="preserve">Each lever is implemented as a subclass of the existing GovernanceLever base class and hooks into the orchestrator via the standard on_interaction and on_epoch_start interfaces.</w:t>
      </w:r>
    </w:p>
    <w:p>
      <w:pPr>
        <w:spacing w:after="80"/>
      </w:pPr>
    </w:p>
    <w:p>
      <w:pPr>
        <w:spacing w:after="120"/>
      </w:pPr>
      <w:r>
        <w:rPr>
          <w:rFonts w:ascii="Arial" w:cs="Arial" w:eastAsia="Arial" w:hAnsi="Arial"/>
          <w:b/>
          <w:bCs/>
          <w:sz w:val="22"/>
          <w:szCs w:val="22"/>
        </w:rPr>
        <w:t xml:space="preserve">Lever A: Self-Ensemble (Majority Vote)</w:t>
      </w:r>
    </w:p>
    <w:p>
      <w:pPr>
        <w:spacing w:after="120"/>
      </w:pPr>
      <w:r>
        <w:rPr>
          <w:rFonts w:ascii="Arial" w:cs="Arial" w:eastAsia="Arial" w:hAnsi="Arial"/>
          <w:sz w:val="22"/>
          <w:szCs w:val="22"/>
        </w:rPr>
        <w:t xml:space="preserve">Each agent samples N candidate actions per step and selects the majority or risk-minimizing choice. This is the most direct variance reducer. Implementation: wrap the agent.act() call in a K-sample loop within the orchestrator; the agent itself is unchanged. Track: reduction in D and I, additional token/step cost, and whether ensembling introduces groupthink (reduced diversity in population-level strategies).</w:t>
      </w:r>
    </w:p>
    <w:p>
      <w:pPr>
        <w:spacing w:after="80"/>
      </w:pPr>
    </w:p>
    <w:p>
      <w:pPr>
        <w:spacing w:after="120"/>
      </w:pPr>
      <w:r>
        <w:rPr>
          <w:rFonts w:ascii="Arial" w:cs="Arial" w:eastAsia="Arial" w:hAnsi="Arial"/>
          <w:b/>
          <w:bCs/>
          <w:sz w:val="22"/>
          <w:szCs w:val="22"/>
        </w:rPr>
        <w:t xml:space="preserve">Lever B: Circuit Breaker for High-Incoherence Contexts</w:t>
      </w:r>
    </w:p>
    <w:p>
      <w:pPr>
        <w:spacing w:after="120"/>
      </w:pPr>
      <w:r>
        <w:rPr>
          <w:rFonts w:ascii="Arial" w:cs="Arial" w:eastAsia="Arial" w:hAnsi="Arial"/>
          <w:sz w:val="22"/>
          <w:szCs w:val="22"/>
        </w:rPr>
        <w:t xml:space="preserve">When an agent’s rolling incoherence estimate exceeds a threshold, automatically: restrict its action space (e.g., block high-stakes collaborations), require escrow or extra confirmation steps, or force shorter decision horizons. This extends the existing CircuitBreakerLever (which triggers on toxicity rate) to also trigger on incoherence.</w:t>
      </w:r>
    </w:p>
    <w:p>
      <w:pPr>
        <w:spacing w:after="80"/>
      </w:pPr>
    </w:p>
    <w:p>
      <w:pPr>
        <w:spacing w:after="120"/>
      </w:pPr>
      <w:r>
        <w:rPr>
          <w:rFonts w:ascii="Arial" w:cs="Arial" w:eastAsia="Arial" w:hAnsi="Arial"/>
          <w:b/>
          <w:bCs/>
          <w:sz w:val="22"/>
          <w:szCs w:val="22"/>
        </w:rPr>
        <w:t xml:space="preserve">Lever C: Decomposition &amp; Verification Protocol</w:t>
      </w:r>
    </w:p>
    <w:p>
      <w:pPr>
        <w:spacing w:after="120"/>
      </w:pPr>
      <w:r>
        <w:rPr>
          <w:rFonts w:ascii="Arial" w:cs="Arial" w:eastAsia="Arial" w:hAnsi="Arial"/>
          <w:sz w:val="22"/>
          <w:szCs w:val="22"/>
        </w:rPr>
        <w:t xml:space="preserve">For episodes exceeding a horizon threshold, enforce explicit subgoal checkpoints. At each checkpoint: the agent produces a state summary, invariant assertions are checked (e.g., reputation consistency, resource bounds), and cheap consistency tests flag contradictions between the agent’s stated plan and its recent actions. Implementation: add a VerificationCheckpoint hook to the orchestrator’s step loop.</w:t>
      </w:r>
    </w:p>
    <w:p>
      <w:pPr>
        <w:spacing w:after="80"/>
      </w:pPr>
    </w:p>
    <w:p>
      <w:pPr>
        <w:spacing w:after="120"/>
      </w:pPr>
      <w:r>
        <w:rPr>
          <w:rFonts w:ascii="Arial" w:cs="Arial" w:eastAsia="Arial" w:hAnsi="Arial"/>
          <w:b/>
          <w:bCs/>
          <w:sz w:val="22"/>
          <w:szCs w:val="22"/>
        </w:rPr>
        <w:t xml:space="preserve">Lever D: Incoherence-Proportional Friction</w:t>
      </w:r>
    </w:p>
    <w:p>
      <w:pPr>
        <w:spacing w:after="120"/>
      </w:pPr>
      <w:r>
        <w:rPr>
          <w:rFonts w:ascii="Arial" w:cs="Arial" w:eastAsia="Arial" w:hAnsi="Arial"/>
          <w:sz w:val="22"/>
          <w:szCs w:val="22"/>
        </w:rPr>
        <w:t xml:space="preserve">Use the microstructure framing already in the sandbox: impose higher transaction taxes when an agent’s recent incoherence is high, require collateral proportional to predicted incoherence risk, and apply reputation penalties for high-variance unreliable behavior (distinct from penalties for harmful behavior). This lever extends TransactionTaxLever with a dynamic rate component.</w:t>
      </w:r>
    </w:p>
    <w:p>
      <w:pPr>
        <w:pStyle w:val="Heading3"/>
      </w:pPr>
      <w:r>
        <w:t xml:space="preserve">3.4.2  Experiment C: Governance Bake-Off</w:t>
      </w:r>
    </w:p>
    <w:p>
      <w:pPr>
        <w:spacing w:after="120"/>
      </w:pPr>
      <w:r>
        <w:rPr>
          <w:rFonts w:ascii="Arial" w:cs="Arial" w:eastAsia="Arial" w:hAnsi="Arial"/>
          <w:sz w:val="22"/>
          <w:szCs w:val="22"/>
        </w:rPr>
        <w:t xml:space="preserve">Compare five conditions across the medium and long horizon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Levers</w:t>
            </w:r>
          </w:p>
        </w:tc>
        <w:tc>
          <w:tcPr>
            <w:tcW w:type="dxa" w:w="27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Baseline</w:t>
            </w:r>
          </w:p>
        </w:tc>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Existing governance only</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Establishes failure rates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Ensemble-only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Self-ensemble (K=5 vote)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D, may add bias</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Breaker-only</w:t>
            </w:r>
          </w:p>
        </w:tc>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Incoherence circuit breaker</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Reduces tail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Subgoal checkpoints + verification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long-horizon drift</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Combined</w:t>
            </w:r>
          </w:p>
        </w:tc>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Ensemble + breaker + decomposition + friction</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Best overall, highest cost</w:t>
            </w:r>
          </w:p>
        </w:tc>
      </w:tr>
    </w:tbl>
    <w:p>
      <w:pPr>
        <w:spacing w:after="80"/>
      </w:pPr>
    </w:p>
    <w:p>
      <w:pPr>
        <w:spacing w:after="120"/>
      </w:pPr>
      <w:r>
        <w:rPr>
          <w:rFonts w:ascii="Arial" w:cs="Arial" w:eastAsia="Arial" w:hAnsi="Arial"/>
          <w:sz w:val="22"/>
          <w:szCs w:val="22"/>
        </w:rPr>
        <w:t xml:space="preserve">Metrics for each condition: safety incidents (count and severity), total regret vs. benchmark, system throughput (actions per epoch), false positive rate (benign agents incorrectly penalized), and governance cost (additional steps/compute).</w:t>
      </w:r>
    </w:p>
    <w:p>
      <w:pPr>
        <w:pStyle w:val="Heading3"/>
      </w:pPr>
      <w:r>
        <w:t xml:space="preserve">3.4.3  Transferability Annotation</w:t>
      </w:r>
    </w:p>
    <w:p>
      <w:pPr>
        <w:spacing w:after="120"/>
      </w:pPr>
      <w:r>
        <w:rPr>
          <w:rFonts w:ascii="Arial" w:cs="Arial" w:eastAsia="Arial" w:hAnsi="Arial"/>
          <w:sz w:val="22"/>
          <w:szCs w:val="22"/>
        </w:rPr>
        <w:t xml:space="preserve">For each intervention, explicitly annotate whether it depends on sandbox-specific properties:</w:t>
      </w:r>
    </w:p>
    <w:p>
      <w:pPr>
        <w:pStyle w:val="ListParagraph"/>
        <w:numPr>
          <w:ilvl w:val="0"/>
          <w:numId w:val="2"/>
        </w:numPr>
        <w:spacing w:after="60"/>
      </w:pPr>
      <w:r>
        <w:rPr>
          <w:rFonts w:ascii="Arial" w:cs="Arial" w:eastAsia="Arial" w:hAnsi="Arial"/>
          <w:sz w:val="22"/>
          <w:szCs w:val="22"/>
        </w:rPr>
        <w:t xml:space="preserve">Reversibility: self-ensemble works because the sandbox allows hypothetical rollouts. In production (irreversible actions), only pre-commitment ensembling is feasible.</w:t>
      </w:r>
    </w:p>
    <w:p>
      <w:pPr>
        <w:pStyle w:val="ListParagraph"/>
        <w:numPr>
          <w:ilvl w:val="0"/>
          <w:numId w:val="2"/>
        </w:numPr>
        <w:spacing w:after="60"/>
      </w:pPr>
      <w:r>
        <w:rPr>
          <w:rFonts w:ascii="Arial" w:cs="Arial" w:eastAsia="Arial" w:hAnsi="Arial"/>
          <w:sz w:val="22"/>
          <w:szCs w:val="22"/>
        </w:rPr>
        <w:t xml:space="preserve">Perfect replay: the incoherence forecaster trains on replay data. In production, you’d need online variance estimation.</w:t>
      </w:r>
    </w:p>
    <w:p>
      <w:pPr>
        <w:pStyle w:val="ListParagraph"/>
        <w:numPr>
          <w:ilvl w:val="0"/>
          <w:numId w:val="2"/>
        </w:numPr>
        <w:spacing w:after="60"/>
      </w:pPr>
      <w:r>
        <w:rPr>
          <w:rFonts w:ascii="Arial" w:cs="Arial" w:eastAsia="Arial" w:hAnsi="Arial"/>
          <w:sz w:val="22"/>
          <w:szCs w:val="22"/>
        </w:rPr>
        <w:t xml:space="preserve">Observable ground truth: circuit breakers trigger on measured incoherence. In production, ground truth is often delayed or unavailable.</w:t>
      </w:r>
    </w:p>
    <w:p>
      <w:pPr>
        <w:spacing w:after="120"/>
      </w:pPr>
      <w:r>
        <w:rPr>
          <w:rFonts w:ascii="Arial" w:cs="Arial" w:eastAsia="Arial" w:hAnsi="Arial"/>
          <w:sz w:val="22"/>
          <w:szCs w:val="22"/>
        </w:rPr>
        <w:t xml:space="preserve">This annotation is critical for any paper or policy recommendation derived from sandbox results.</w:t>
      </w:r>
    </w:p>
    <w:p>
      <w:pPr>
        <w:pStyle w:val="Heading3"/>
      </w:pPr>
      <w:r>
        <w:t xml:space="preserve">3.4.4  Deliverables</w:t>
      </w:r>
    </w:p>
    <w:p>
      <w:pPr>
        <w:pStyle w:val="ListParagraph"/>
        <w:numPr>
          <w:ilvl w:val="0"/>
          <w:numId w:val="2"/>
        </w:numPr>
        <w:spacing w:after="60"/>
      </w:pPr>
      <w:r>
        <w:rPr>
          <w:rFonts w:ascii="Arial" w:cs="Arial" w:eastAsia="Arial" w:hAnsi="Arial"/>
          <w:sz w:val="22"/>
          <w:szCs w:val="22"/>
        </w:rPr>
        <w:t xml:space="preserve">Four new GovernanceLever subclasses</w:t>
      </w:r>
    </w:p>
    <w:p>
      <w:pPr>
        <w:pStyle w:val="ListParagraph"/>
        <w:numPr>
          <w:ilvl w:val="0"/>
          <w:numId w:val="2"/>
        </w:numPr>
        <w:spacing w:after="60"/>
      </w:pPr>
      <w:r>
        <w:rPr>
          <w:rFonts w:ascii="Arial" w:cs="Arial" w:eastAsia="Arial" w:hAnsi="Arial"/>
          <w:sz w:val="22"/>
          <w:szCs w:val="22"/>
        </w:rPr>
        <w:t xml:space="preserve">VerificationCheckpoint hook in orchestrator</w:t>
      </w:r>
    </w:p>
    <w:p>
      <w:pPr>
        <w:pStyle w:val="ListParagraph"/>
        <w:numPr>
          <w:ilvl w:val="0"/>
          <w:numId w:val="2"/>
        </w:numPr>
        <w:spacing w:after="60"/>
      </w:pPr>
      <w:r>
        <w:rPr>
          <w:rFonts w:ascii="Arial" w:cs="Arial" w:eastAsia="Arial" w:hAnsi="Arial"/>
          <w:sz w:val="22"/>
          <w:szCs w:val="22"/>
        </w:rPr>
        <w:t xml:space="preserve">Bake-off experiment scripts and analysis</w:t>
      </w:r>
    </w:p>
    <w:p>
      <w:pPr>
        <w:pStyle w:val="ListParagraph"/>
        <w:numPr>
          <w:ilvl w:val="0"/>
          <w:numId w:val="2"/>
        </w:numPr>
        <w:spacing w:after="60"/>
      </w:pPr>
      <w:r>
        <w:rPr>
          <w:rFonts w:ascii="Arial" w:cs="Arial" w:eastAsia="Arial" w:hAnsi="Arial"/>
          <w:sz w:val="22"/>
          <w:szCs w:val="22"/>
        </w:rPr>
        <w:t xml:space="preserve">Transferability assessment document</w:t>
      </w:r>
    </w:p>
    <w:p>
      <w:pPr>
        <w:spacing w:after="80"/>
      </w:pPr>
    </w:p>
    <w:p>
      <w:pPr>
        <w:spacing w:after="120"/>
      </w:pPr>
      <w:r>
        <w:rPr>
          <w:rFonts w:ascii="Arial" w:cs="Arial" w:eastAsia="Arial" w:hAnsi="Arial"/>
          <w:b/>
          <w:bCs/>
          <w:sz w:val="22"/>
          <w:szCs w:val="22"/>
        </w:rPr>
        <w:t xml:space="preserve">Estimated scope: </w:t>
      </w:r>
      <w:r>
        <w:rPr>
          <w:rFonts w:ascii="Arial" w:cs="Arial" w:eastAsia="Arial" w:hAnsi="Arial"/>
          <w:sz w:val="22"/>
          <w:szCs w:val="22"/>
        </w:rPr>
        <w:t xml:space="preserve">~800 lines new code. This is the heaviest implementation phase.</w:t>
      </w:r>
    </w:p>
    <w:p>
      <w:r>
        <w:br w:type="page"/>
      </w:r>
    </w:p>
    <w:p>
      <w:pPr>
        <w:pStyle w:val="Heading2"/>
      </w:pPr>
      <w:r>
        <w:t xml:space="preserve">Phase 5: Incoherence Forecaster &amp; Adaptive Governance</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Close the loop: predict incoherence from episode features and use predictions to drive governance decisions automatically.</w:t>
      </w:r>
    </w:p>
    <w:p>
      <w:pPr>
        <w:pStyle w:val="Heading3"/>
      </w:pPr>
      <w:r>
        <w:t xml:space="preserve">3.5.1  Feature Extraction</w:t>
      </w:r>
    </w:p>
    <w:p>
      <w:pPr>
        <w:spacing w:after="120"/>
      </w:pPr>
      <w:r>
        <w:rPr>
          <w:rFonts w:ascii="Arial" w:cs="Arial" w:eastAsia="Arial" w:hAnsi="Arial"/>
          <w:sz w:val="22"/>
          <w:szCs w:val="22"/>
        </w:rPr>
        <w:t xml:space="preserve">For each episode, log cheaply computable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Horizon length</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OrchestratorConfig</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Structural (stable)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spec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(stable)</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Action space size</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Environment config</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Structural (stable)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type fraction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spec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(stable)</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Early-step action entropy</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First 3 steps of episode</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Behavioral (shifts)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Self-ensemble disagreement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 lever output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(shifts)</w:t>
            </w:r>
          </w:p>
        </w:tc>
      </w:tr>
    </w:tbl>
    <w:p>
      <w:pPr>
        <w:spacing w:after="80"/>
      </w:pPr>
    </w:p>
    <w:p>
      <w:pPr>
        <w:pStyle w:val="Heading3"/>
      </w:pPr>
      <w:r>
        <w:t xml:space="preserve">3.5.2  Forecaster Design</w:t>
      </w:r>
    </w:p>
    <w:p>
      <w:pPr>
        <w:spacing w:after="120"/>
      </w:pPr>
      <w:r>
        <w:rPr>
          <w:rFonts w:ascii="Arial" w:cs="Arial" w:eastAsia="Arial" w:hAnsi="Arial"/>
          <w:sz w:val="22"/>
          <w:szCs w:val="22"/>
        </w:rPr>
        <w:t xml:space="preserve">Start with a logistic regression over structural features only. These are policy-invariant: they don’t change when governance interventions are applied, so the forecaster doesn’t need retraining after governance changes. Behavioral features (action entropy, ensemble disagreement) can be added as a second model for within-episode prediction, but this model must be retrained when governance policy changes.</w:t>
      </w:r>
    </w:p>
    <w:p>
      <w:pPr>
        <w:spacing w:after="120"/>
      </w:pPr>
      <w:r>
        <w:rPr>
          <w:rFonts w:ascii="Arial" w:cs="Arial" w:eastAsia="Arial" w:hAnsi="Arial"/>
          <w:sz w:val="22"/>
          <w:szCs w:val="22"/>
        </w:rPr>
        <w:t xml:space="preserve">Train on replay data from Phases 2–4. Target: binary classification (I &gt; threshold) or regression on I directly.</w:t>
      </w:r>
    </w:p>
    <w:p>
      <w:pPr>
        <w:pStyle w:val="Heading3"/>
      </w:pPr>
      <w:r>
        <w:t xml:space="preserve">3.5.3  Adaptive Governance Loop</w:t>
      </w:r>
    </w:p>
    <w:p>
      <w:pPr>
        <w:spacing w:after="120"/>
      </w:pPr>
      <w:r>
        <w:rPr>
          <w:rFonts w:ascii="Arial" w:cs="Arial" w:eastAsia="Arial" w:hAnsi="Arial"/>
          <w:sz w:val="22"/>
          <w:szCs w:val="22"/>
        </w:rPr>
        <w:t xml:space="preserve">Wire the forecaster into the GovernanceEngine:</w:t>
      </w:r>
    </w:p>
    <w:p>
      <w:pPr>
        <w:pStyle w:val="ListParagraph"/>
        <w:numPr>
          <w:ilvl w:val="0"/>
          <w:numId w:val="2"/>
        </w:numPr>
        <w:spacing w:after="60"/>
      </w:pPr>
      <w:r>
        <w:rPr>
          <w:rFonts w:ascii="Arial" w:cs="Arial" w:eastAsia="Arial" w:hAnsi="Arial"/>
          <w:sz w:val="22"/>
          <w:szCs w:val="22"/>
        </w:rPr>
        <w:t xml:space="preserve">Before each episode (or at epoch boundaries): compute predicted incoherence from structural features.</w:t>
      </w:r>
    </w:p>
    <w:p>
      <w:pPr>
        <w:pStyle w:val="ListParagraph"/>
        <w:numPr>
          <w:ilvl w:val="0"/>
          <w:numId w:val="2"/>
        </w:numPr>
        <w:spacing w:after="60"/>
      </w:pPr>
      <w:r>
        <w:rPr>
          <w:rFonts w:ascii="Arial" w:cs="Arial" w:eastAsia="Arial" w:hAnsi="Arial"/>
          <w:sz w:val="22"/>
          <w:szCs w:val="22"/>
        </w:rPr>
        <w:t xml:space="preserve">If predicted I exceeds threshold: automatically activate the appropriate governance levers (ensemble, circuit breaker, decomposition) for that episode.</w:t>
      </w:r>
    </w:p>
    <w:p>
      <w:pPr>
        <w:pStyle w:val="ListParagraph"/>
        <w:numPr>
          <w:ilvl w:val="0"/>
          <w:numId w:val="2"/>
        </w:numPr>
        <w:spacing w:after="60"/>
      </w:pPr>
      <w:r>
        <w:rPr>
          <w:rFonts w:ascii="Arial" w:cs="Arial" w:eastAsia="Arial" w:hAnsi="Arial"/>
          <w:sz w:val="22"/>
          <w:szCs w:val="22"/>
        </w:rPr>
        <w:t xml:space="preserve">Within an episode: if behavioral features indicate rising incoherence mid-episode, escalate (tighter action space, forced checkpoint).</w:t>
      </w:r>
    </w:p>
    <w:p>
      <w:pPr>
        <w:spacing w:after="120"/>
      </w:pPr>
      <w:r>
        <w:rPr>
          <w:rFonts w:ascii="Arial" w:cs="Arial" w:eastAsia="Arial" w:hAnsi="Arial"/>
          <w:sz w:val="22"/>
          <w:szCs w:val="22"/>
        </w:rPr>
        <w:t xml:space="preserve">This makes governance proportional to predicted risk, rather than applying blanket restrictions everywhere.</w:t>
      </w:r>
    </w:p>
    <w:p>
      <w:pPr>
        <w:pStyle w:val="Heading3"/>
      </w:pPr>
      <w:r>
        <w:t xml:space="preserve">3.5.4  Deliverables</w:t>
      </w:r>
    </w:p>
    <w:p>
      <w:pPr>
        <w:pStyle w:val="ListParagraph"/>
        <w:numPr>
          <w:ilvl w:val="0"/>
          <w:numId w:val="2"/>
        </w:numPr>
        <w:spacing w:after="60"/>
      </w:pPr>
      <w:r>
        <w:rPr>
          <w:rFonts w:ascii="Arial" w:cs="Arial" w:eastAsia="Arial" w:hAnsi="Arial"/>
          <w:sz w:val="22"/>
          <w:szCs w:val="22"/>
        </w:rPr>
        <w:t xml:space="preserve">Feature extraction pipeline (integrated with event logging)</w:t>
      </w:r>
    </w:p>
    <w:p>
      <w:pPr>
        <w:pStyle w:val="ListParagraph"/>
        <w:numPr>
          <w:ilvl w:val="0"/>
          <w:numId w:val="2"/>
        </w:numPr>
        <w:spacing w:after="60"/>
      </w:pPr>
      <w:r>
        <w:rPr>
          <w:rFonts w:ascii="Arial" w:cs="Arial" w:eastAsia="Arial" w:hAnsi="Arial"/>
          <w:sz w:val="22"/>
          <w:szCs w:val="22"/>
        </w:rPr>
        <w:t xml:space="preserve">IncoherenceForecaster class with train/predict interface</w:t>
      </w:r>
    </w:p>
    <w:p>
      <w:pPr>
        <w:pStyle w:val="ListParagraph"/>
        <w:numPr>
          <w:ilvl w:val="0"/>
          <w:numId w:val="2"/>
        </w:numPr>
        <w:spacing w:after="60"/>
      </w:pPr>
      <w:r>
        <w:rPr>
          <w:rFonts w:ascii="Arial" w:cs="Arial" w:eastAsia="Arial" w:hAnsi="Arial"/>
          <w:sz w:val="22"/>
          <w:szCs w:val="22"/>
        </w:rPr>
        <w:t xml:space="preserve">Adaptive governance integration in GovernanceEngine</w:t>
      </w:r>
    </w:p>
    <w:p>
      <w:pPr>
        <w:pStyle w:val="ListParagraph"/>
        <w:numPr>
          <w:ilvl w:val="0"/>
          <w:numId w:val="2"/>
        </w:numPr>
        <w:spacing w:after="60"/>
      </w:pPr>
      <w:r>
        <w:rPr>
          <w:rFonts w:ascii="Arial" w:cs="Arial" w:eastAsia="Arial" w:hAnsi="Arial"/>
          <w:sz w:val="22"/>
          <w:szCs w:val="22"/>
        </w:rPr>
        <w:t xml:space="preserve">Evaluation: compare adaptive vs. static governance on a held-out scenario set</w:t>
      </w:r>
    </w:p>
    <w:p>
      <w:pPr>
        <w:spacing w:after="80"/>
      </w:pPr>
    </w:p>
    <w:p>
      <w:pPr>
        <w:spacing w:after="120"/>
      </w:pPr>
      <w:r>
        <w:rPr>
          <w:rFonts w:ascii="Arial" w:cs="Arial" w:eastAsia="Arial" w:hAnsi="Arial"/>
          <w:b/>
          <w:bCs/>
          <w:sz w:val="22"/>
          <w:szCs w:val="22"/>
        </w:rPr>
        <w:t xml:space="preserve">Estimated scope: </w:t>
      </w:r>
      <w:r>
        <w:rPr>
          <w:rFonts w:ascii="Arial" w:cs="Arial" w:eastAsia="Arial" w:hAnsi="Arial"/>
          <w:sz w:val="22"/>
          <w:szCs w:val="22"/>
        </w:rPr>
        <w:t xml:space="preserve">~500 lines new code. Depends on all prior phases.</w:t>
      </w:r>
    </w:p>
    <w:p>
      <w:r>
        <w:br w:type="page"/>
      </w:r>
    </w:p>
    <w:p>
      <w:pPr>
        <w:pStyle w:val="Heading1"/>
      </w:pPr>
      <w:r>
        <w:t xml:space="preserve">4  Deferred Extensions</w:t>
      </w:r>
    </w:p>
    <w:p>
      <w:pPr>
        <w:spacing w:after="120"/>
      </w:pPr>
      <w:r>
        <w:rPr>
          <w:rFonts w:ascii="Arial" w:cs="Arial" w:eastAsia="Arial" w:hAnsi="Arial"/>
          <w:sz w:val="22"/>
          <w:szCs w:val="22"/>
        </w:rPr>
        <w:t xml:space="preserve">The following items from the original proposal are valuable but should be built after the core incoherence infrastructure is validated. Deferring them avoids building two things at once and keeps each phase shippable.</w:t>
      </w:r>
    </w:p>
    <w:p>
      <w:pPr>
        <w:pStyle w:val="Heading2"/>
      </w:pPr>
      <w:r>
        <w:t xml:space="preserve">4.1  Kyle/GM Market Microstructure Module</w:t>
      </w:r>
    </w:p>
    <w:p>
      <w:pPr>
        <w:spacing w:after="120"/>
      </w:pPr>
      <w:r>
        <w:rPr>
          <w:rFonts w:ascii="Arial" w:cs="Arial" w:eastAsia="Arial" w:hAnsi="Arial"/>
          <w:sz w:val="22"/>
          <w:szCs w:val="22"/>
        </w:rPr>
        <w:t xml:space="preserve">A dedicated market-making module where agents submit orders, a market maker sets spreads, and information asymmetry is explicitly modeled through order flow toxicity. This would enable Experiment D (injecting toxic order flow, measuring when market-maker agents produce incoherent pricing). Deferred because it requires a substantially richer action space than the current feed/task/collaboration loop. Build after Phase 3 confirms the incoherence asymmetry hypothesis in the existing architecture.</w:t>
      </w:r>
    </w:p>
    <w:p>
      <w:pPr>
        <w:pStyle w:val="Heading2"/>
      </w:pPr>
      <w:r>
        <w:t xml:space="preserve">4.2  Operations / Tool-Use Task Module</w:t>
      </w:r>
    </w:p>
    <w:p>
      <w:pPr>
        <w:spacing w:after="120"/>
      </w:pPr>
      <w:r>
        <w:rPr>
          <w:rFonts w:ascii="Arial" w:cs="Arial" w:eastAsia="Arial" w:hAnsi="Arial"/>
          <w:sz w:val="22"/>
          <w:szCs w:val="22"/>
        </w:rPr>
        <w:t xml:space="preserve">Long-horizon tasks involving deterministic and stochastic tool calls (API invocations, file operations, multi-step workflows with interruptions). Deferred because tool-use requires a new environment module with its own state machine. Build after Phase 4 when the governance levers have been validated on the simpler task types.</w:t>
      </w:r>
    </w:p>
    <w:p>
      <w:pPr>
        <w:pStyle w:val="Heading2"/>
      </w:pPr>
      <w:r>
        <w:t xml:space="preserve">4.3  Moltbook-Native Communication Tasks</w:t>
      </w:r>
    </w:p>
    <w:p>
      <w:pPr>
        <w:spacing w:after="120"/>
      </w:pPr>
      <w:r>
        <w:rPr>
          <w:rFonts w:ascii="Arial" w:cs="Arial" w:eastAsia="Arial" w:hAnsi="Arial"/>
          <w:sz w:val="22"/>
          <w:szCs w:val="22"/>
        </w:rPr>
        <w:t xml:space="preserve">Using posts/comments as part of long-horizon tasks (negotiation, persuasion, coalition formation), then tracking incoherence as thread depth rises. This is a natural fit for the existing feed engine but requires distinguishing strategic incoherence (inconsistent plans across a thread) from surface incoherence (contradictory individual messages). Build a strategic coherence metric before instrumenting this: check whether an agent’s voting behavior aligns with its stated positions, whether its collaboration choices are consistent with its thread arguments.</w:t>
      </w:r>
    </w:p>
    <w:p>
      <w:pPr>
        <w:pStyle w:val="Heading2"/>
      </w:pPr>
      <w:r>
        <w:t xml:space="preserve">4.4  Contracting / Mechanism Participation Module</w:t>
      </w:r>
    </w:p>
    <w:p>
      <w:pPr>
        <w:spacing w:after="120"/>
      </w:pPr>
      <w:r>
        <w:rPr>
          <w:rFonts w:ascii="Arial" w:cs="Arial" w:eastAsia="Arial" w:hAnsi="Arial"/>
          <w:sz w:val="22"/>
          <w:szCs w:val="22"/>
        </w:rPr>
        <w:t xml:space="preserve">Multi-step contingent contracts with escrow, audits, and dispute resolution. This extends the existing collaboration and task system but requires contract state management and a richer verification protocol. Build after Phase 4’s decomposition and verification infrastructure is in place.</w:t>
      </w:r>
    </w:p>
    <w:p>
      <w:r>
        <w:br w:type="page"/>
      </w:r>
    </w:p>
    <w:p>
      <w:pPr>
        <w:pStyle w:val="Heading1"/>
      </w:pPr>
      <w:r>
        <w:t xml:space="preserve">5  Engineering Specifications</w:t>
      </w:r>
    </w:p>
    <w:p>
      <w:pPr>
        <w:pStyle w:val="Heading2"/>
      </w:pPr>
      <w:r>
        <w:t xml:space="preserve">5.1  Event Schema Extension</w:t>
      </w:r>
    </w:p>
    <w:p>
      <w:pPr>
        <w:spacing w:after="120"/>
      </w:pPr>
      <w:r>
        <w:rPr>
          <w:rFonts w:ascii="Arial" w:cs="Arial" w:eastAsia="Arial" w:hAnsi="Arial"/>
          <w:sz w:val="22"/>
          <w:szCs w:val="22"/>
        </w:rPr>
        <w:t xml:space="preserve">Add the following fields to the existing JSONL event log schema:</w:t>
      </w:r>
    </w:p>
    <w:p>
      <w:pPr>
        <w:shd w:fill="F5F5F5" w:val="clear"/>
        <w:spacing w:after="100"/>
        <w:ind w:left="360"/>
      </w:pPr>
      <w:r>
        <w:rPr>
          <w:rFonts w:ascii="Courier New" w:cs="Courier New" w:eastAsia="Courier New" w:hAnsi="Courier New"/>
          <w:sz w:val="20"/>
          <w:szCs w:val="20"/>
        </w:rPr>
        <w:t xml:space="preserve">{ "event_type": "action", "scenario_id": "...", "replay_k": 7,</w:t>
      </w:r>
    </w:p>
    <w:p>
      <w:pPr>
        <w:shd w:fill="F5F5F5" w:val="clear"/>
        <w:spacing w:after="100"/>
        <w:ind w:left="360"/>
      </w:pPr>
      <w:r>
        <w:rPr>
          <w:rFonts w:ascii="Courier New" w:cs="Courier New" w:eastAsia="Courier New" w:hAnsi="Courier New"/>
          <w:sz w:val="20"/>
          <w:szCs w:val="20"/>
        </w:rPr>
        <w:t xml:space="preserve">  "seed": 42, "step": 12, "agent_id": "honest_1",</w:t>
      </w:r>
    </w:p>
    <w:p>
      <w:pPr>
        <w:shd w:fill="F5F5F5" w:val="clear"/>
        <w:spacing w:after="100"/>
        <w:ind w:left="360"/>
      </w:pPr>
      <w:r>
        <w:rPr>
          <w:rFonts w:ascii="Courier New" w:cs="Courier New" w:eastAsia="Courier New" w:hAnsi="Courier New"/>
          <w:sz w:val="20"/>
          <w:szCs w:val="20"/>
        </w:rPr>
        <w:t xml:space="preserve">  "action": "collaborate", "action_probs": [0.4, 0.3, 0.2, 0.1],</w:t>
      </w:r>
    </w:p>
    <w:p>
      <w:pPr>
        <w:shd w:fill="F5F5F5" w:val="clear"/>
        <w:spacing w:after="100"/>
        <w:ind w:left="360"/>
      </w:pPr>
      <w:r>
        <w:rPr>
          <w:rFonts w:ascii="Courier New" w:cs="Courier New" w:eastAsia="Courier New" w:hAnsi="Courier New"/>
          <w:sz w:val="20"/>
          <w:szCs w:val="20"/>
        </w:rPr>
        <w:t xml:space="preserve">  "incoherence_features": {</w:t>
      </w:r>
    </w:p>
    <w:p>
      <w:pPr>
        <w:shd w:fill="F5F5F5" w:val="clear"/>
        <w:spacing w:after="100"/>
        <w:ind w:left="360"/>
      </w:pPr>
      <w:r>
        <w:rPr>
          <w:rFonts w:ascii="Courier New" w:cs="Courier New" w:eastAsia="Courier New" w:hAnsi="Courier New"/>
          <w:sz w:val="20"/>
          <w:szCs w:val="20"/>
        </w:rPr>
        <w:t xml:space="preserve">    "horizon_so_far": 12, "agent_count": 5,</w:t>
      </w:r>
    </w:p>
    <w:p>
      <w:pPr>
        <w:shd w:fill="F5F5F5" w:val="clear"/>
        <w:spacing w:after="100"/>
        <w:ind w:left="360"/>
      </w:pPr>
      <w:r>
        <w:rPr>
          <w:rFonts w:ascii="Courier New" w:cs="Courier New" w:eastAsia="Courier New" w:hAnsi="Courier New"/>
          <w:sz w:val="20"/>
          <w:szCs w:val="20"/>
        </w:rPr>
        <w:t xml:space="preserve">    "action_entropy": 1.32, "ensemble_disagreement": 0.45</w:t>
      </w:r>
    </w:p>
    <w:p>
      <w:pPr>
        <w:shd w:fill="F5F5F5" w:val="clear"/>
        <w:spacing w:after="100"/>
        <w:ind w:left="360"/>
      </w:pPr>
      <w:r>
        <w:rPr>
          <w:rFonts w:ascii="Courier New" w:cs="Courier New" w:eastAsia="Courier New" w:hAnsi="Courier New"/>
          <w:sz w:val="20"/>
          <w:szCs w:val="20"/>
        </w:rPr>
        <w:t xml:space="preserve">  }</w:t>
      </w:r>
    </w:p>
    <w:p>
      <w:pPr>
        <w:shd w:fill="F5F5F5" w:val="clear"/>
        <w:spacing w:after="100"/>
        <w:ind w:left="360"/>
      </w:pPr>
      <w:r>
        <w:rPr>
          <w:rFonts w:ascii="Courier New" w:cs="Courier New" w:eastAsia="Courier New" w:hAnsi="Courier New"/>
          <w:sz w:val="20"/>
          <w:szCs w:val="20"/>
        </w:rPr>
        <w:t xml:space="preserve">}</w:t>
      </w:r>
    </w:p>
    <w:p>
      <w:pPr>
        <w:pStyle w:val="Heading2"/>
      </w:pPr>
      <w:r>
        <w:t xml:space="preserve">5.2  EpisodeSpec Standardization</w:t>
      </w:r>
    </w:p>
    <w:p>
      <w:pPr>
        <w:spacing w:after="120"/>
      </w:pPr>
      <w:r>
        <w:rPr>
          <w:rFonts w:ascii="Arial" w:cs="Arial" w:eastAsia="Arial" w:hAnsi="Arial"/>
          <w:sz w:val="22"/>
          <w:szCs w:val="22"/>
        </w:rPr>
        <w:t xml:space="preserve">Standardize the scenario specification to include all parameters needed for reproducible replay:</w:t>
      </w:r>
    </w:p>
    <w:p>
      <w:pPr>
        <w:pStyle w:val="ListParagraph"/>
        <w:numPr>
          <w:ilvl w:val="0"/>
          <w:numId w:val="2"/>
        </w:numPr>
        <w:spacing w:after="60"/>
      </w:pPr>
      <w:r>
        <w:rPr>
          <w:rFonts w:ascii="Arial" w:cs="Arial" w:eastAsia="Arial" w:hAnsi="Arial"/>
          <w:sz w:val="22"/>
          <w:szCs w:val="22"/>
        </w:rPr>
        <w:t xml:space="preserve">Scenario YAML path + overrides</w:t>
      </w:r>
    </w:p>
    <w:p>
      <w:pPr>
        <w:pStyle w:val="ListParagraph"/>
        <w:numPr>
          <w:ilvl w:val="0"/>
          <w:numId w:val="2"/>
        </w:numPr>
        <w:spacing w:after="60"/>
      </w:pPr>
      <w:r>
        <w:rPr>
          <w:rFonts w:ascii="Arial" w:cs="Arial" w:eastAsia="Arial" w:hAnsi="Arial"/>
          <w:sz w:val="22"/>
          <w:szCs w:val="22"/>
        </w:rPr>
        <w:t xml:space="preserve">Seed (controls all stochastic elements)</w:t>
      </w:r>
    </w:p>
    <w:p>
      <w:pPr>
        <w:pStyle w:val="ListParagraph"/>
        <w:numPr>
          <w:ilvl w:val="0"/>
          <w:numId w:val="2"/>
        </w:numPr>
        <w:spacing w:after="60"/>
      </w:pPr>
      <w:r>
        <w:rPr>
          <w:rFonts w:ascii="Arial" w:cs="Arial" w:eastAsia="Arial" w:hAnsi="Arial"/>
          <w:sz w:val="22"/>
          <w:szCs w:val="22"/>
        </w:rPr>
        <w:t xml:space="preserve">Agent roster (types, IDs, initial states)</w:t>
      </w:r>
    </w:p>
    <w:p>
      <w:pPr>
        <w:pStyle w:val="ListParagraph"/>
        <w:numPr>
          <w:ilvl w:val="0"/>
          <w:numId w:val="2"/>
        </w:numPr>
        <w:spacing w:after="60"/>
      </w:pPr>
      <w:r>
        <w:rPr>
          <w:rFonts w:ascii="Arial" w:cs="Arial" w:eastAsia="Arial" w:hAnsi="Arial"/>
          <w:sz w:val="22"/>
          <w:szCs w:val="22"/>
        </w:rPr>
        <w:t xml:space="preserve">Allowed action space per agent type</w:t>
      </w:r>
    </w:p>
    <w:p>
      <w:pPr>
        <w:pStyle w:val="ListParagraph"/>
        <w:numPr>
          <w:ilvl w:val="0"/>
          <w:numId w:val="2"/>
        </w:numPr>
        <w:spacing w:after="60"/>
      </w:pPr>
      <w:r>
        <w:rPr>
          <w:rFonts w:ascii="Arial" w:cs="Arial" w:eastAsia="Arial" w:hAnsi="Arial"/>
          <w:sz w:val="22"/>
          <w:szCs w:val="22"/>
        </w:rPr>
        <w:t xml:space="preserve">Horizon cap</w:t>
      </w:r>
    </w:p>
    <w:p>
      <w:pPr>
        <w:pStyle w:val="ListParagraph"/>
        <w:numPr>
          <w:ilvl w:val="0"/>
          <w:numId w:val="2"/>
        </w:numPr>
        <w:spacing w:after="60"/>
      </w:pPr>
      <w:r>
        <w:rPr>
          <w:rFonts w:ascii="Arial" w:cs="Arial" w:eastAsia="Arial" w:hAnsi="Arial"/>
          <w:sz w:val="22"/>
          <w:szCs w:val="22"/>
        </w:rPr>
        <w:t xml:space="preserve">Governance config</w:t>
      </w:r>
    </w:p>
    <w:p>
      <w:pPr>
        <w:pStyle w:val="ListParagraph"/>
        <w:numPr>
          <w:ilvl w:val="0"/>
          <w:numId w:val="2"/>
        </w:numPr>
        <w:spacing w:after="60"/>
      </w:pPr>
      <w:r>
        <w:rPr>
          <w:rFonts w:ascii="Arial" w:cs="Arial" w:eastAsia="Arial" w:hAnsi="Arial"/>
          <w:sz w:val="22"/>
          <w:szCs w:val="22"/>
        </w:rPr>
        <w:t xml:space="preserve">Noise injection parameters</w:t>
      </w:r>
    </w:p>
    <w:p>
      <w:pPr>
        <w:pStyle w:val="Heading2"/>
      </w:pPr>
      <w:r>
        <w:t xml:space="preserve">5.3  File Structure (New Additions)</w:t>
      </w:r>
    </w:p>
    <w:p>
      <w:pPr>
        <w:shd w:fill="F5F5F5" w:val="clear"/>
        <w:spacing w:after="100"/>
        <w:ind w:left="360"/>
      </w:pPr>
      <w:r>
        <w:rPr>
          <w:rFonts w:ascii="Courier New" w:cs="Courier New" w:eastAsia="Courier New" w:hAnsi="Courier New"/>
          <w:sz w:val="20"/>
          <w:szCs w:val="20"/>
        </w:rPr>
        <w:t xml:space="preserve">src/</w:t>
      </w:r>
    </w:p>
    <w:p>
      <w:pPr>
        <w:shd w:fill="F5F5F5" w:val="clear"/>
        <w:spacing w:after="100"/>
        <w:ind w:left="360"/>
      </w:pPr>
      <w:r>
        <w:rPr>
          <w:rFonts w:ascii="Courier New" w:cs="Courier New" w:eastAsia="Courier New" w:hAnsi="Courier New"/>
          <w:sz w:val="20"/>
          <w:szCs w:val="20"/>
        </w:rPr>
        <w:t xml:space="preserve">  metrics/</w:t>
      </w:r>
    </w:p>
    <w:p>
      <w:pPr>
        <w:shd w:fill="F5F5F5" w:val="clear"/>
        <w:spacing w:after="100"/>
        <w:ind w:left="360"/>
      </w:pPr>
      <w:r>
        <w:rPr>
          <w:rFonts w:ascii="Courier New" w:cs="Courier New" w:eastAsia="Courier New" w:hAnsi="Courier New"/>
          <w:sz w:val="20"/>
          <w:szCs w:val="20"/>
        </w:rPr>
        <w:t xml:space="preserve">    incoherence.py          # IncoherenceMetrics, IncoherenceIndex</w:t>
      </w:r>
    </w:p>
    <w:p>
      <w:pPr>
        <w:shd w:fill="F5F5F5" w:val="clear"/>
        <w:spacing w:after="100"/>
        <w:ind w:left="360"/>
      </w:pPr>
      <w:r>
        <w:rPr>
          <w:rFonts w:ascii="Courier New" w:cs="Courier New" w:eastAsia="Courier New" w:hAnsi="Courier New"/>
          <w:sz w:val="20"/>
          <w:szCs w:val="20"/>
        </w:rPr>
        <w:t xml:space="preserve">  replay/</w:t>
      </w:r>
    </w:p>
    <w:p>
      <w:pPr>
        <w:shd w:fill="F5F5F5" w:val="clear"/>
        <w:spacing w:after="100"/>
        <w:ind w:left="360"/>
      </w:pPr>
      <w:r>
        <w:rPr>
          <w:rFonts w:ascii="Courier New" w:cs="Courier New" w:eastAsia="Courier New" w:hAnsi="Courier New"/>
          <w:sz w:val="20"/>
          <w:szCs w:val="20"/>
        </w:rPr>
        <w:t xml:space="preserve">    runner.py               # ReplayRunner</w:t>
      </w:r>
    </w:p>
    <w:p>
      <w:pPr>
        <w:shd w:fill="F5F5F5" w:val="clear"/>
        <w:spacing w:after="100"/>
        <w:ind w:left="360"/>
      </w:pPr>
      <w:r>
        <w:rPr>
          <w:rFonts w:ascii="Courier New" w:cs="Courier New" w:eastAsia="Courier New" w:hAnsi="Courier New"/>
          <w:sz w:val="20"/>
          <w:szCs w:val="20"/>
        </w:rPr>
        <w:t xml:space="preserve">    episode_spec.py         # EpisodeSpec dataclass</w:t>
      </w:r>
    </w:p>
    <w:p>
      <w:pPr>
        <w:shd w:fill="F5F5F5" w:val="clear"/>
        <w:spacing w:after="100"/>
        <w:ind w:left="360"/>
      </w:pPr>
      <w:r>
        <w:rPr>
          <w:rFonts w:ascii="Courier New" w:cs="Courier New" w:eastAsia="Courier New" w:hAnsi="Courier New"/>
          <w:sz w:val="20"/>
          <w:szCs w:val="20"/>
        </w:rPr>
        <w:t xml:space="preserve">  forecaster/</w:t>
      </w:r>
    </w:p>
    <w:p>
      <w:pPr>
        <w:shd w:fill="F5F5F5" w:val="clear"/>
        <w:spacing w:after="100"/>
        <w:ind w:left="360"/>
      </w:pPr>
      <w:r>
        <w:rPr>
          <w:rFonts w:ascii="Courier New" w:cs="Courier New" w:eastAsia="Courier New" w:hAnsi="Courier New"/>
          <w:sz w:val="20"/>
          <w:szCs w:val="20"/>
        </w:rPr>
        <w:t xml:space="preserve">    features.py             # Feature extraction pipeline</w:t>
      </w:r>
    </w:p>
    <w:p>
      <w:pPr>
        <w:shd w:fill="F5F5F5" w:val="clear"/>
        <w:spacing w:after="100"/>
        <w:ind w:left="360"/>
      </w:pPr>
      <w:r>
        <w:rPr>
          <w:rFonts w:ascii="Courier New" w:cs="Courier New" w:eastAsia="Courier New" w:hAnsi="Courier New"/>
          <w:sz w:val="20"/>
          <w:szCs w:val="20"/>
        </w:rPr>
        <w:t xml:space="preserve">    model.py                # IncoherenceForecaster</w:t>
      </w:r>
    </w:p>
    <w:p>
      <w:pPr>
        <w:shd w:fill="F5F5F5" w:val="clear"/>
        <w:spacing w:after="100"/>
        <w:ind w:left="360"/>
      </w:pPr>
      <w:r>
        <w:rPr>
          <w:rFonts w:ascii="Courier New" w:cs="Courier New" w:eastAsia="Courier New" w:hAnsi="Courier New"/>
          <w:sz w:val="20"/>
          <w:szCs w:val="20"/>
        </w:rPr>
        <w:t xml:space="preserve">  governance/</w:t>
      </w:r>
    </w:p>
    <w:p>
      <w:pPr>
        <w:shd w:fill="F5F5F5" w:val="clear"/>
        <w:spacing w:after="100"/>
        <w:ind w:left="360"/>
      </w:pPr>
      <w:r>
        <w:rPr>
          <w:rFonts w:ascii="Courier New" w:cs="Courier New" w:eastAsia="Courier New" w:hAnsi="Courier New"/>
          <w:sz w:val="20"/>
          <w:szCs w:val="20"/>
        </w:rPr>
        <w:t xml:space="preserve">    ensemble.py             # SelfEnsembleLever</w:t>
      </w:r>
    </w:p>
    <w:p>
      <w:pPr>
        <w:shd w:fill="F5F5F5" w:val="clear"/>
        <w:spacing w:after="100"/>
        <w:ind w:left="360"/>
      </w:pPr>
      <w:r>
        <w:rPr>
          <w:rFonts w:ascii="Courier New" w:cs="Courier New" w:eastAsia="Courier New" w:hAnsi="Courier New"/>
          <w:sz w:val="20"/>
          <w:szCs w:val="20"/>
        </w:rPr>
        <w:t xml:space="preserve">    incoherence_breaker.py  # IncoherenceCircuitBreakerLever</w:t>
      </w:r>
    </w:p>
    <w:p>
      <w:pPr>
        <w:shd w:fill="F5F5F5" w:val="clear"/>
        <w:spacing w:after="100"/>
        <w:ind w:left="360"/>
      </w:pPr>
      <w:r>
        <w:rPr>
          <w:rFonts w:ascii="Courier New" w:cs="Courier New" w:eastAsia="Courier New" w:hAnsi="Courier New"/>
          <w:sz w:val="20"/>
          <w:szCs w:val="20"/>
        </w:rPr>
        <w:t xml:space="preserve">    decomposition.py        # DecompositionLever + VerificationCheckpoint</w:t>
      </w:r>
    </w:p>
    <w:p>
      <w:pPr>
        <w:shd w:fill="F5F5F5" w:val="clear"/>
        <w:spacing w:after="100"/>
        <w:ind w:left="360"/>
      </w:pPr>
      <w:r>
        <w:rPr>
          <w:rFonts w:ascii="Courier New" w:cs="Courier New" w:eastAsia="Courier New" w:hAnsi="Courier New"/>
          <w:sz w:val="20"/>
          <w:szCs w:val="20"/>
        </w:rPr>
        <w:t xml:space="preserve">    dynamic_friction.py     # IncoherenceFrictionLever</w:t>
      </w:r>
    </w:p>
    <w:p>
      <w:pPr>
        <w:pStyle w:val="Heading2"/>
      </w:pPr>
      <w:r>
        <w:t xml:space="preserve">5.4  Testing Strategy</w:t>
      </w:r>
    </w:p>
    <w:p>
      <w:pPr>
        <w:spacing w:after="120"/>
      </w:pPr>
      <w:r>
        <w:rPr>
          <w:rFonts w:ascii="Arial" w:cs="Arial" w:eastAsia="Arial" w:hAnsi="Arial"/>
          <w:sz w:val="22"/>
          <w:szCs w:val="22"/>
        </w:rPr>
        <w:t xml:space="preserve">Each phase has its own test file. Key test properties:</w:t>
      </w:r>
    </w:p>
    <w:p>
      <w:pPr>
        <w:pStyle w:val="ListParagraph"/>
        <w:numPr>
          <w:ilvl w:val="0"/>
          <w:numId w:val="2"/>
        </w:numPr>
        <w:spacing w:after="60"/>
      </w:pPr>
      <w:r>
        <w:rPr>
          <w:rFonts w:ascii="Arial" w:cs="Arial" w:eastAsia="Arial" w:hAnsi="Arial"/>
          <w:sz w:val="22"/>
          <w:szCs w:val="22"/>
        </w:rPr>
        <w:t xml:space="preserve">Deterministic agents (always choose same action) should produce I = 0 across all replays.</w:t>
      </w:r>
    </w:p>
    <w:p>
      <w:pPr>
        <w:pStyle w:val="ListParagraph"/>
        <w:numPr>
          <w:ilvl w:val="0"/>
          <w:numId w:val="2"/>
        </w:numPr>
        <w:spacing w:after="60"/>
      </w:pPr>
      <w:r>
        <w:rPr>
          <w:rFonts w:ascii="Arial" w:cs="Arial" w:eastAsia="Arial" w:hAnsi="Arial"/>
          <w:sz w:val="22"/>
          <w:szCs w:val="22"/>
        </w:rPr>
        <w:t xml:space="preserve">Uniformly random agents should produce I near 1.</w:t>
      </w:r>
    </w:p>
    <w:p>
      <w:pPr>
        <w:pStyle w:val="ListParagraph"/>
        <w:numPr>
          <w:ilvl w:val="0"/>
          <w:numId w:val="2"/>
        </w:numPr>
        <w:spacing w:after="60"/>
      </w:pPr>
      <w:r>
        <w:rPr>
          <w:rFonts w:ascii="Arial" w:cs="Arial" w:eastAsia="Arial" w:hAnsi="Arial"/>
          <w:sz w:val="22"/>
          <w:szCs w:val="22"/>
        </w:rPr>
        <w:t xml:space="preserve">Self-ensemble with K=large should reduce D toward 0 for stochastic agents.</w:t>
      </w:r>
    </w:p>
    <w:p>
      <w:pPr>
        <w:pStyle w:val="ListParagraph"/>
        <w:numPr>
          <w:ilvl w:val="0"/>
          <w:numId w:val="2"/>
        </w:numPr>
        <w:spacing w:after="60"/>
      </w:pPr>
      <w:r>
        <w:rPr>
          <w:rFonts w:ascii="Arial" w:cs="Arial" w:eastAsia="Arial" w:hAnsi="Arial"/>
          <w:sz w:val="22"/>
          <w:szCs w:val="22"/>
        </w:rPr>
        <w:t xml:space="preserve">Circuit breaker should activate when a known-incoherent scenario is run.</w:t>
      </w:r>
    </w:p>
    <w:p>
      <w:pPr>
        <w:pStyle w:val="ListParagraph"/>
        <w:numPr>
          <w:ilvl w:val="0"/>
          <w:numId w:val="2"/>
        </w:numPr>
        <w:spacing w:after="60"/>
      </w:pPr>
      <w:r>
        <w:rPr>
          <w:rFonts w:ascii="Arial" w:cs="Arial" w:eastAsia="Arial" w:hAnsi="Arial"/>
          <w:sz w:val="22"/>
          <w:szCs w:val="22"/>
        </w:rPr>
        <w:t xml:space="preserve">Forecaster should predict high I for long-horizon, high-branching scenarios after training on Phase 2 data.</w:t>
      </w:r>
    </w:p>
    <w:p>
      <w:r>
        <w:br w:type="page"/>
      </w:r>
    </w:p>
    <w:p>
      <w:pPr>
        <w:pStyle w:val="Heading1"/>
      </w:pPr>
      <w:r>
        <w:t xml:space="preserve">6  Phase Dependencies &amp; Sequencing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100"/>
        <w:gridCol w:w="1800"/>
        <w:gridCol w:w="1560"/>
      </w:tblGrid>
      <w:tr>
        <w:tc>
          <w:tcPr>
            <w:tcW w:type="dxa" w:w="1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3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21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c>
          <w:tcPr>
            <w:tcW w:type="dxa" w:w="1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 Code</w:t>
            </w:r>
          </w:p>
        </w:tc>
        <w:tc>
          <w:tcPr>
            <w:tcW w:type="dxa" w:w="15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b/>
                <w:bCs/>
                <w:sz w:val="20"/>
                <w:szCs w:val="20"/>
              </w:rPr>
              <w:t xml:space="preserve">1 - Replay</w:t>
            </w:r>
          </w:p>
        </w:tc>
        <w:tc>
          <w:tcPr>
            <w:tcW w:type="dxa" w:w="2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Existing codebase</w:t>
            </w:r>
          </w:p>
        </w:tc>
        <w:tc>
          <w:tcPr>
            <w:tcW w:type="dxa" w:w="2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 metric at 3 levels</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~400 lines</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 Stress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Scaling curve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lines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b/>
                <w:bCs/>
                <w:sz w:val="20"/>
                <w:szCs w:val="20"/>
              </w:rPr>
              <w:t xml:space="preserve">3 - Types</w:t>
            </w:r>
          </w:p>
        </w:tc>
        <w:tc>
          <w:tcPr>
            <w:tcW w:type="dxa" w:w="2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Phases 1–2</w:t>
            </w:r>
          </w:p>
        </w:tc>
        <w:tc>
          <w:tcPr>
            <w:tcW w:type="dxa" w:w="2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Asymmetry finding</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~200 lines</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 Gov</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Phases 1–3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bake-off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lines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b/>
                <w:bCs/>
                <w:sz w:val="20"/>
                <w:szCs w:val="20"/>
              </w:rPr>
              <w:t xml:space="preserve">5 - Forecast</w:t>
            </w:r>
          </w:p>
        </w:tc>
        <w:tc>
          <w:tcPr>
            <w:tcW w:type="dxa" w:w="2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Phases 1–4</w:t>
            </w:r>
          </w:p>
        </w:tc>
        <w:tc>
          <w:tcPr>
            <w:tcW w:type="dxa" w:w="2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Adaptive governance</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~500 lines</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High</w:t>
            </w:r>
          </w:p>
        </w:tc>
      </w:tr>
    </w:tbl>
    <w:p>
      <w:pPr>
        <w:spacing w:after="80"/>
      </w:pPr>
    </w:p>
    <w:p>
      <w:pPr>
        <w:spacing w:after="120"/>
      </w:pPr>
      <w:r>
        <w:rPr>
          <w:rFonts w:ascii="Arial" w:cs="Arial" w:eastAsia="Arial" w:hAnsi="Arial"/>
          <w:sz w:val="22"/>
          <w:szCs w:val="22"/>
        </w:rPr>
        <w:t xml:space="preserve">Total estimated new code: approximately 2,150 lines across all phases, plus scenario YAML, tests, and analysis notebooks. Each phase is independently useful and produces results that can be reported.</w:t>
      </w:r>
    </w:p>
    <w:p>
      <w:pPr>
        <w:pStyle w:val="Heading1"/>
      </w:pPr>
      <w:r>
        <w:t xml:space="preserve">7  Success Criteria</w:t>
      </w:r>
    </w:p>
    <w:p>
      <w:pPr>
        <w:spacing w:after="120"/>
      </w:pPr>
      <w:r>
        <w:rPr>
          <w:rFonts w:ascii="Arial" w:cs="Arial" w:eastAsia="Arial" w:hAnsi="Arial"/>
          <w:sz w:val="22"/>
          <w:szCs w:val="22"/>
        </w:rPr>
        <w:t xml:space="preserve">The plan succeeds if:</w:t>
      </w:r>
    </w:p>
    <w:p>
      <w:pPr>
        <w:pStyle w:val="ListParagraph"/>
        <w:numPr>
          <w:ilvl w:val="0"/>
          <w:numId w:val="3"/>
        </w:numPr>
        <w:spacing w:after="60"/>
      </w:pPr>
      <w:r>
        <w:rPr>
          <w:rFonts w:ascii="Arial" w:cs="Arial" w:eastAsia="Arial" w:hAnsi="Arial"/>
          <w:sz w:val="22"/>
          <w:szCs w:val="22"/>
        </w:rPr>
        <w:t xml:space="preserve">The hot-mess scaling curve is clearly visible: incoherence index rises monotonically with horizon at fixed incentives. This validates the core hypothesis in a multi-agent setting.</w:t>
      </w:r>
    </w:p>
    <w:p>
      <w:pPr>
        <w:pStyle w:val="ListParagraph"/>
        <w:numPr>
          <w:ilvl w:val="0"/>
          <w:numId w:val="3"/>
        </w:numPr>
        <w:spacing w:after="60"/>
      </w:pPr>
      <w:r>
        <w:rPr>
          <w:rFonts w:ascii="Arial" w:cs="Arial" w:eastAsia="Arial" w:hAnsi="Arial"/>
          <w:sz w:val="22"/>
          <w:szCs w:val="22"/>
        </w:rPr>
        <w:t xml:space="preserve">The agent-type asymmetry is confirmed: deceptive/adversarial agents show statistically lower incoherence than honest agents at long horizons. This is the novel contribution.</w:t>
      </w:r>
    </w:p>
    <w:p>
      <w:pPr>
        <w:pStyle w:val="ListParagraph"/>
        <w:numPr>
          <w:ilvl w:val="0"/>
          <w:numId w:val="3"/>
        </w:numPr>
        <w:spacing w:after="60"/>
      </w:pPr>
      <w:r>
        <w:rPr>
          <w:rFonts w:ascii="Arial" w:cs="Arial" w:eastAsia="Arial" w:hAnsi="Arial"/>
          <w:sz w:val="22"/>
          <w:szCs w:val="22"/>
        </w:rPr>
        <w:t xml:space="preserve">At least one governance intervention reduces system-level incoherence by &gt;30% with &lt;2x cost increase. This demonstrates practical value.</w:t>
      </w:r>
    </w:p>
    <w:p>
      <w:pPr>
        <w:pStyle w:val="ListParagraph"/>
        <w:numPr>
          <w:ilvl w:val="0"/>
          <w:numId w:val="3"/>
        </w:numPr>
        <w:spacing w:after="60"/>
      </w:pPr>
      <w:r>
        <w:rPr>
          <w:rFonts w:ascii="Arial" w:cs="Arial" w:eastAsia="Arial" w:hAnsi="Arial"/>
          <w:sz w:val="22"/>
          <w:szCs w:val="22"/>
        </w:rPr>
        <w:t xml:space="preserve">The incoherence forecaster achieves &gt;0.7 AUC on held-out scenarios using only structural features. This validates the adaptive governance approach.</w:t>
      </w:r>
    </w:p>
    <w:p>
      <w:pPr>
        <w:pStyle w:val="ListParagraph"/>
        <w:numPr>
          <w:ilvl w:val="0"/>
          <w:numId w:val="3"/>
        </w:numPr>
        <w:spacing w:after="60"/>
      </w:pPr>
      <w:r>
        <w:rPr>
          <w:rFonts w:ascii="Arial" w:cs="Arial" w:eastAsia="Arial" w:hAnsi="Arial"/>
          <w:sz w:val="22"/>
          <w:szCs w:val="22"/>
        </w:rPr>
        <w:t xml:space="preserve">All results include transferability annotations distinguishing sandbox-specific findings from production-generalizable ones. This makes the work credible for policy recommendations.</w:t>
      </w:r>
    </w:p>
    <w:p>
      <w:pPr>
        <w:pStyle w:val="Heading1"/>
      </w:pPr>
      <w:r>
        <w:t xml:space="preserve">8  References</w:t>
      </w:r>
    </w:p>
    <w:p>
      <w:pPr>
        <w:spacing w:after="120"/>
      </w:pPr>
      <w:r>
        <w:rPr>
          <w:rFonts w:ascii="Arial" w:cs="Arial" w:eastAsia="Arial" w:hAnsi="Arial"/>
          <w:sz w:val="22"/>
          <w:szCs w:val="22"/>
        </w:rPr>
        <w:t xml:space="preserve">Hägele, A., Gema, A.P., Sleight, H., Perez, E., &amp; Sohl-Dickstein, J. (2026). The Hot Mess of AI: How Does Misalignment Scale with Model Intelligence and Task Complexity? arXiv:2601.23045.</w:t>
      </w:r>
    </w:p>
    <w:p>
      <w:pPr>
        <w:spacing w:after="120"/>
      </w:pPr>
      <w:r>
        <w:rPr>
          <w:rFonts w:ascii="Arial" w:cs="Arial" w:eastAsia="Arial" w:hAnsi="Arial"/>
          <w:sz w:val="22"/>
          <w:szCs w:val="22"/>
        </w:rPr>
        <w:t xml:space="preserve">Sohl-Dickstein, J. (2023). The hot mess theory of AI misalignment.</w:t>
      </w:r>
    </w:p>
    <w:p>
      <w:pPr>
        <w:spacing w:after="120"/>
      </w:pPr>
      <w:r>
        <w:rPr>
          <w:rFonts w:ascii="Arial" w:cs="Arial" w:eastAsia="Arial" w:hAnsi="Arial"/>
          <w:sz w:val="22"/>
          <w:szCs w:val="22"/>
        </w:rPr>
        <w:t xml:space="preserve">Kyle, A.S. (1985). Continuous Auctions and Insider Trading. Econometrica, 53(6), 1315–1335.</w:t>
      </w:r>
    </w:p>
    <w:p>
      <w:pPr>
        <w:spacing w:after="120"/>
      </w:pPr>
      <w:r>
        <w:rPr>
          <w:rFonts w:ascii="Arial" w:cs="Arial" w:eastAsia="Arial" w:hAnsi="Arial"/>
          <w:sz w:val="22"/>
          <w:szCs w:val="22"/>
        </w:rPr>
        <w:t xml:space="preserve">Glosten, L.R. &amp; Milgrom, P.R. (1985). Bid, Ask and Transaction Prices in a Specialist Market with Heterogeneously Informed Traders. Journal of Financial Economics, 14(1), 71–100.</w:t>
      </w:r>
    </w:p>
    <w:p>
      <w:pPr>
        <w:spacing w:after="120"/>
      </w:pPr>
      <w:r>
        <w:rPr>
          <w:rFonts w:ascii="Arial" w:cs="Arial" w:eastAsia="Arial" w:hAnsi="Arial"/>
          <w:sz w:val="22"/>
          <w:szCs w:val="22"/>
        </w:rPr>
        <w:t xml:space="preserve">Distributional Safety in Agentic Systems. arXiv:2512.16856.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Incoherence Scaling — Revised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A3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3A4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B4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2026-02-04T20:08:36.815Z</dcterms:created>
  <dcterms:modified xsi:type="dcterms:W3CDTF">2026-02-04T20:08:36.816Z</dcterms:modified>
</cp:coreProperties>
</file>

<file path=docProps/custom.xml><?xml version="1.0" encoding="utf-8"?>
<Properties xmlns="http://schemas.openxmlformats.org/officeDocument/2006/custom-properties" xmlns:vt="http://schemas.openxmlformats.org/officeDocument/2006/docPropsVTypes"/>
</file>