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 Requirement Document</w:t>
      </w:r>
    </w:p>
    <w:p>
      <w:pPr>
        <w:pStyle w:val="Heading2"/>
      </w:pPr>
      <w:r>
        <w:t>Call ID: CR-FREQ-2026-0731</w:t>
      </w:r>
    </w:p>
    <w:p>
      <w:r>
        <w:t>Call Summary: Must Have Frequency change process enhancement for NGIN and OPUS policies Major Frequency change process enhancement for NGIN and OPUS policies</w:t>
      </w:r>
    </w:p>
    <w:p>
      <w:r>
        <w:t>Priority: High (Must Have)</w:t>
      </w:r>
    </w:p>
    <w:p>
      <w:r>
        <w:t>Applicable Platform: NON OPUS, Frequency change process enhancement for NGIN and OPUS policies</w:t>
      </w:r>
    </w:p>
    <w:p>
      <w:pPr>
        <w:pStyle w:val="Heading1"/>
      </w:pPr>
      <w:r>
        <w:t>Objective</w:t>
      </w:r>
    </w:p>
    <w:p>
      <w:r>
        <w:t>Modernize the frequency change process to ensure consistent, auditable, and compliant servicing outcomes.</w:t>
      </w:r>
    </w:p>
    <w:p>
      <w:pPr>
        <w:pStyle w:val="Heading1"/>
      </w:pPr>
      <w:r>
        <w:t>Business Requirements</w:t>
      </w:r>
    </w:p>
    <w:p>
      <w:pPr>
        <w:pStyle w:val="ListBullet"/>
      </w:pPr>
      <w:r>
        <w:t>Business Requirement document</w:t>
        <w:br/>
        <w:t>1. Invoice Handling:</w:t>
        <w:br/>
        <w:t xml:space="preserve">• If an invoice is generated 30 days prior and the frequency change request (SR) goes into exception, the system should: </w:t>
        <w:br/>
        <w:t>o Auto-cancel the existing invoice.</w:t>
        <w:br/>
        <w:t>o Generate a new invoice/due list post frequency change within the grace period.</w:t>
        <w:br/>
        <w:br/>
        <w:t>2. EFT Mode Handling:</w:t>
        <w:br/>
        <w:t xml:space="preserve">• For policies with source mode as EFT (Electronic Fund Transfer): </w:t>
        <w:br/>
        <w:t>o The system should not restrict frequency change by asking for account type update or DC activation.</w:t>
        <w:br/>
        <w:t>o Remove dependency on DC activation and account type validation for frequency change.</w:t>
      </w:r>
    </w:p>
    <w:p>
      <w:pPr>
        <w:pStyle w:val="ListBullet"/>
      </w:pPr>
      <w:r>
        <w:t>In scenarios where currently invoice is getting generated prior 30 days and we are not able to do frequency change (SR going in exception)  OPUS/NGIN/CRM/LACP/All other touch points ULIP/TRAD/TERM/ENDOWMENT In such scenarios Invoice should be auto-cancelled and new invoice/ due list should be generated post frequency change within grace period.</w:t>
      </w:r>
    </w:p>
    <w:p>
      <w:pPr>
        <w:pStyle w:val="ListBullet"/>
      </w:pPr>
      <w:r>
        <w:t>If source mode is EFT(electronic fund transfer) then system should not restrict frequency change by asking account type update or DC activation OPUS/NGIN/CRM/LACP/All other touch points ULIP/TRAD/TERM/ENDOWMENT Frequency change is not dependent on DC activation or account type updation.</w:t>
      </w:r>
    </w:p>
    <w:p>
      <w:pPr>
        <w:pStyle w:val="ListBullet"/>
      </w:pPr>
      <w:r>
        <w:t>For Term products- after lapse frequency change will not be allowed and for ULIP, the process will be allowed after lapse. For term functionality is in place but ULIP misc charges Defect is raised for charges handling Delta</w:t>
      </w:r>
    </w:p>
    <w:p>
      <w:pPr>
        <w:pStyle w:val="ListBullet"/>
      </w:pPr>
      <w:r>
        <w:t>In scenarios where currently invoice is getting generated 30 days and we are not able to do frequency change (SR going in exception).In such scenarios Invoice should be auto-cancelled and new invoice &amp; due list should be generated post frequency change within grace period. In such scenarios Invoice should be auto-cancelled and new Invoice &amp; due list should be generated post frequency change within grace period. Delta</w:t>
      </w:r>
    </w:p>
    <w:p>
      <w:pPr>
        <w:pStyle w:val="Heading1"/>
      </w:pPr>
      <w:r>
        <w:t>Business Rules</w:t>
      </w:r>
    </w:p>
    <w:p>
      <w:pPr>
        <w:pStyle w:val="ListNumber"/>
      </w:pPr>
      <w:r>
        <w:t>1. As frequency change is an OTC process, touchpoints (Branch, WCC, GRO,Customer Portal / App) will raise SR that will be Auto closed, and the correction will reflect in OPUS/NGIN.</w:t>
      </w:r>
    </w:p>
    <w:p>
      <w:pPr>
        <w:pStyle w:val="ListNumber"/>
      </w:pPr>
      <w:r>
        <w:t>2. Policies status with issued, RI, lapsed, lapse, paid-up SA, and discontinue allowed for frequency change.Frequency change shall be allowed up-to 170 days from the last FUP (for ULIP + Traditional policies, higher to lower frequency change is allowed). : Policy status with discontinue and lapse should be eligible for frequency change.</w:t>
      </w:r>
    </w:p>
    <w:p>
      <w:pPr>
        <w:pStyle w:val="ListNumber"/>
      </w:pPr>
      <w:r>
        <w:t>3. Before due date, on due date, after due date, within grace period, and lapse scenarios to be considered for frequency change and provision should be available for offline and online front end journeys (CRM, LACP etc.).: Frequency change should be allowed as per product circular rules</w:t>
      </w:r>
    </w:p>
    <w:p>
      <w:pPr>
        <w:pStyle w:val="ListNumber"/>
      </w:pPr>
      <w:r>
        <w:t>4. Frequency change to be restricted for the policies where due list for upcoming due is generated. (Days parameter to be discuss &amp; finalize. Included in configurator): Due list is generated 2 days prior to txn date hence frequnecy change should not be allowed after due list generation till collection.</w:t>
      </w:r>
    </w:p>
    <w:p>
      <w:pPr>
        <w:pStyle w:val="ListNumber"/>
      </w:pPr>
      <w:r>
        <w:t>5. Frequency calculator to be built for all journey basis product guidelines (for instance, BI). A separate option in front end applications to be given to replicate calculator on applications like iManage, etc.: Frequency calculator to be built</w:t>
      </w:r>
    </w:p>
    <w:p>
      <w:pPr>
        <w:pStyle w:val="ListNumber"/>
      </w:pPr>
      <w:r>
        <w:t>6. Frequency change logs should get save in core system and MIS to be made available for report purpose.: In txn history frequency change txn is reflecting. MIS requirement should be taken seperately</w:t>
      </w:r>
    </w:p>
    <w:p>
      <w:pPr>
        <w:pStyle w:val="ListNumber"/>
      </w:pPr>
      <w:r>
        <w:t>7. Decimal round off to be considered for ULIP and it will be on an upper side.: Decimal round off to be considered for ULIP and it will be on an upper side.</w:t>
      </w:r>
    </w:p>
    <w:p>
      <w:pPr>
        <w:pStyle w:val="ListNumber"/>
      </w:pPr>
      <w:r>
        <w:t>8. System must adjust already collected premium in case of frequency change (advance payment adjustment / refund logic).: System must adjust already collected premium in case of frequency change (advance payment adjustment / refund logic).</w:t>
      </w:r>
    </w:p>
    <w:p>
      <w:pPr>
        <w:pStyle w:val="ListNumber"/>
      </w:pPr>
      <w:r>
        <w:t>9. In case of reversal of frequency within a defined timeline, system must reverse extra charges or discounts applied in case of collection not received:  MISC charges will be deducted in ULIPs</w:t>
      </w:r>
    </w:p>
    <w:p>
      <w:pPr>
        <w:pStyle w:val="ListNumber"/>
      </w:pPr>
      <w:r>
        <w:t>10. Existing ECS / NACH / Auto-debit mandates must be updated automatically with revised premium and frequency.: Existing ECS / NACH / Auto-debit mandates must be updated automatically with revised premium and frequency.</w:t>
      </w:r>
    </w:p>
    <w:p>
      <w:pPr>
        <w:pStyle w:val="ListNumber"/>
      </w:pPr>
      <w:r>
        <w:t>11. Exception Handling, frequency change must not be allowed during:  Surrendered policy, Policy under claim processing, Policy near maturity, Frequency change request must fail with appropriate error message for ineligible cases.: frequency change must not be allowed during:  Surrendered policy, Policy under claim processing, Policy near maturity, Frequency change request must fail with appropriate error message for ineligible cases.</w:t>
      </w:r>
    </w:p>
    <w:p>
      <w:pPr>
        <w:pStyle w:val="ListNumber"/>
      </w:pPr>
      <w:r>
        <w:t>12. For Term products- after lapse frequency change will not be allowed and for ULIP, the process will be allowed after lapse.: For term functionality is in place but ULIP misc charges Defect is raised for charges handling</w:t>
      </w:r>
    </w:p>
    <w:p>
      <w:pPr>
        <w:pStyle w:val="ListNumber"/>
      </w:pPr>
      <w:r>
        <w:t>13. Auto-pay mandatory- cases where customer is changing frequency before due date within grace period, for such scenarios auto-pay registration will be mandatory/non-mandatory as per product conditions. Cases where frequency changes are taking place in lapsed/discontinue status, there auto-pay registration will be mandatory.: Cases where frequency changes are taking place in lapsed/discontinue status, there auto-pay registration will be mandatory.</w:t>
      </w:r>
    </w:p>
    <w:p>
      <w:pPr>
        <w:pStyle w:val="Heading1"/>
      </w:pPr>
      <w:r>
        <w:t>Functional Scope</w:t>
      </w:r>
    </w:p>
    <w:p>
      <w:pPr>
        <w:pStyle w:val="ListBullet"/>
      </w:pPr>
      <w:r>
        <w:t>Capture and validate frequency change requests</w:t>
      </w:r>
    </w:p>
    <w:p>
      <w:pPr>
        <w:pStyle w:val="ListBullet"/>
      </w:pPr>
      <w:r>
        <w:t>Apply business rules and exception handling</w:t>
      </w:r>
    </w:p>
    <w:p>
      <w:pPr>
        <w:pStyle w:val="ListBullet"/>
      </w:pPr>
      <w:r>
        <w:t>Trigger downstream updates in policy and servicing systems</w:t>
      </w:r>
    </w:p>
    <w:p>
      <w:pPr>
        <w:pStyle w:val="ListBullet"/>
      </w:pPr>
      <w:r>
        <w:t>Provide audit trail and communication updates for policyholders</w:t>
      </w:r>
    </w:p>
    <w:p>
      <w:pPr>
        <w:pStyle w:val="Heading1"/>
      </w:pPr>
      <w:r>
        <w:t>Non-Functional Requirements</w:t>
      </w:r>
    </w:p>
    <w:p>
      <w:pPr>
        <w:pStyle w:val="ListBullet"/>
      </w:pPr>
      <w:r>
        <w:t>The solution must support role-based access for servicing and operations teams.</w:t>
      </w:r>
    </w:p>
    <w:p>
      <w:pPr>
        <w:pStyle w:val="ListBullet"/>
      </w:pPr>
      <w:r>
        <w:t>All changes must be traceable and available for audit review.</w:t>
      </w:r>
    </w:p>
    <w:p>
      <w:pPr>
        <w:pStyle w:val="ListBullet"/>
      </w:pPr>
      <w:r>
        <w:t>The process must provide measurable turnaround times and error handling for failed downstream updates.</w:t>
      </w:r>
    </w:p>
    <w:p>
      <w:pPr>
        <w:pStyle w:val="Heading1"/>
      </w:pPr>
      <w:r>
        <w:t>Acceptance Criteria</w:t>
      </w:r>
    </w:p>
    <w:p>
      <w:pPr>
        <w:pStyle w:val="ListBullet"/>
      </w:pPr>
      <w:r>
        <w:t>A valid request completes end-to-end without manual intervention.</w:t>
      </w:r>
    </w:p>
    <w:p>
      <w:pPr>
        <w:pStyle w:val="ListBullet"/>
      </w:pPr>
      <w:r>
        <w:t>Invalid or exception scenarios are flagged for business review.</w:t>
      </w:r>
    </w:p>
    <w:p>
      <w:pPr>
        <w:pStyle w:val="ListBullet"/>
      </w:pPr>
      <w:r>
        <w:t>System-generated communication and documentation are available for the case record.</w:t>
      </w:r>
    </w:p>
    <w:p>
      <w:pPr>
        <w:pStyle w:val="Heading1"/>
      </w:pPr>
      <w:r>
        <w:t>Process Steps</w:t>
      </w:r>
    </w:p>
    <w:p>
      <w:pPr>
        <w:pStyle w:val="ListBullet"/>
      </w:pPr>
      <w:r>
        <w:t>Step 1 — Customer: Customer approaches touchpoint for frequency change</w:t>
      </w:r>
    </w:p>
    <w:p>
      <w:pPr>
        <w:pStyle w:val="ListBullet"/>
      </w:pPr>
      <w:r>
        <w:t>Step 2 — System: System validates policy eligibility and status</w:t>
      </w:r>
    </w:p>
    <w:p>
      <w:pPr>
        <w:pStyle w:val="ListBullet"/>
      </w:pPr>
      <w:r>
        <w:t>Step 3 — Branch/WCC/GRO: KYC documents collected and verified</w:t>
      </w:r>
    </w:p>
    <w:p>
      <w:pPr>
        <w:pStyle w:val="ListBullet"/>
      </w:pPr>
      <w:r>
        <w:t>Step 4 — Touchpoint User: SR raised in CRM with new frequency details</w:t>
      </w:r>
    </w:p>
    <w:p>
      <w:pPr>
        <w:pStyle w:val="ListBullet"/>
      </w:pPr>
      <w:r>
        <w:t>Step 5 — System: System processes change (OPUS/NGIN/Scheduler)</w:t>
      </w:r>
    </w:p>
    <w:p>
      <w:pPr>
        <w:pStyle w:val="ListBullet"/>
      </w:pPr>
      <w:r>
        <w:t>Step 6 — System: Auto-cancels/regenerates invoice if applicable</w:t>
      </w:r>
    </w:p>
    <w:p>
      <w:pPr>
        <w:pStyle w:val="ListBullet"/>
      </w:pPr>
      <w:r>
        <w:t>Step 7 — CCM: Communication triggered to policyholder</w:t>
      </w:r>
    </w:p>
    <w:p>
      <w:pPr>
        <w:pStyle w:val="Heading1"/>
      </w:pPr>
      <w:r>
        <w:t>Out of Scope</w:t>
      </w:r>
    </w:p>
    <w:p>
      <w:pPr>
        <w:pStyle w:val="ListBullet"/>
      </w:pPr>
      <w:r>
        <w:t>Invest Protect Goal II (explicitly excluded)</w:t>
      </w:r>
    </w:p>
    <w:p>
      <w:pPr>
        <w:pStyle w:val="ListBullet"/>
      </w:pPr>
      <w:r>
        <w:t>Finance/Accounting changes (no financial impact)</w:t>
      </w:r>
    </w:p>
    <w:p>
      <w:pPr>
        <w:pStyle w:val="ListBullet"/>
      </w:pPr>
      <w:r>
        <w:t>Communication format changes (not required)</w:t>
      </w:r>
    </w:p>
    <w:p>
      <w:pPr>
        <w:pStyle w:val="ListBullet"/>
      </w:pPr>
      <w:r>
        <w:t>Policy surrender processing</w:t>
      </w:r>
    </w:p>
    <w:p>
      <w:pPr>
        <w:pStyle w:val="ListBullet"/>
      </w:pPr>
      <w:r>
        <w:t>Claim processing integration</w:t>
      </w:r>
    </w:p>
    <w:p>
      <w:pPr>
        <w:pStyle w:val="Heading1"/>
      </w:pPr>
      <w:r>
        <w:t>Dependencies</w:t>
      </w:r>
    </w:p>
    <w:p>
      <w:pPr>
        <w:pStyle w:val="ListBullet"/>
      </w:pPr>
      <w:r>
        <w:t>OPUS Core System</w:t>
      </w:r>
    </w:p>
    <w:p>
      <w:pPr>
        <w:pStyle w:val="ListBullet"/>
      </w:pPr>
      <w:r>
        <w:t>NGIN Policy Administration</w:t>
      </w:r>
    </w:p>
    <w:p>
      <w:pPr>
        <w:pStyle w:val="ListBullet"/>
      </w:pPr>
      <w:r>
        <w:t>CRM (iAhead)</w:t>
      </w:r>
    </w:p>
    <w:p>
      <w:pPr>
        <w:pStyle w:val="ListBullet"/>
      </w:pPr>
      <w:r>
        <w:t>Customer Portal / Life Assist App</w:t>
      </w:r>
    </w:p>
    <w:p>
      <w:pPr>
        <w:pStyle w:val="ListBullet"/>
      </w:pPr>
      <w:r>
        <w:t>CCM</w:t>
      </w:r>
    </w:p>
    <w:p>
      <w:pPr>
        <w:pStyle w:val="ListBullet"/>
      </w:pPr>
      <w:r>
        <w:t>GPA</w:t>
      </w:r>
    </w:p>
    <w:p>
      <w:pPr>
        <w:pStyle w:val="ListBullet"/>
      </w:pPr>
      <w:r>
        <w:t>Scheduler / Reverse Feed</w:t>
      </w:r>
    </w:p>
    <w:p>
      <w:pPr>
        <w:pStyle w:val="ListBullet"/>
      </w:pPr>
      <w:r>
        <w:t>Payment Gateway</w:t>
      </w:r>
    </w:p>
    <w:p>
      <w:pPr>
        <w:pStyle w:val="ListBullet"/>
      </w:pPr>
      <w:r>
        <w:t>NON OPUS Application</w:t>
      </w:r>
    </w:p>
    <w:p>
      <w:pPr>
        <w:pStyle w:val="ListBullet"/>
      </w:pPr>
      <w:r>
        <w:t>Frequency change process enhancement for NGIN and OPUS policies Application</w:t>
      </w:r>
    </w:p>
    <w:p>
      <w:pPr>
        <w:pStyle w:val="Heading1"/>
      </w:pPr>
      <w:r>
        <w:t>Compliance Notes</w:t>
      </w:r>
    </w:p>
    <w:p>
      <w:r>
        <w:t>The solution must align with policy servicing controls, data privacy expectations, and audit requirements for change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